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EB8AD" w14:textId="77777777" w:rsidR="00E85CB2" w:rsidRDefault="00E85CB2" w:rsidP="00E85CB2">
      <w:pPr>
        <w:pStyle w:val="CRCoverPage"/>
        <w:tabs>
          <w:tab w:val="right" w:pos="8640"/>
        </w:tabs>
        <w:spacing w:after="0"/>
        <w:ind w:right="1260"/>
        <w:rPr>
          <w:b/>
          <w:noProof/>
          <w:sz w:val="24"/>
        </w:rPr>
      </w:pPr>
    </w:p>
    <w:p w14:paraId="7DAFA115" w14:textId="2A444522"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891E87">
        <w:rPr>
          <w:rFonts w:ascii="Arial" w:eastAsia="Times New Roman" w:hAnsi="Arial"/>
          <w:b/>
          <w:sz w:val="24"/>
          <w:szCs w:val="24"/>
        </w:rPr>
        <w:t>6</w:t>
      </w:r>
      <w:r>
        <w:rPr>
          <w:rFonts w:ascii="Arial" w:eastAsia="Times New Roman" w:hAnsi="Arial"/>
          <w:b/>
          <w:bCs/>
          <w:sz w:val="24"/>
          <w:szCs w:val="24"/>
        </w:rPr>
        <w:tab/>
      </w:r>
      <w:r w:rsidRPr="00993664">
        <w:rPr>
          <w:rFonts w:ascii="Arial" w:hAnsi="Arial" w:cs="Arial"/>
          <w:b/>
          <w:bCs/>
          <w:color w:val="000000"/>
          <w:sz w:val="26"/>
          <w:szCs w:val="26"/>
        </w:rPr>
        <w:t>R2-1</w:t>
      </w:r>
      <w:r w:rsidR="00290FF0">
        <w:rPr>
          <w:rFonts w:ascii="Arial" w:hAnsi="Arial" w:cs="Arial"/>
          <w:b/>
          <w:bCs/>
          <w:color w:val="000000"/>
          <w:sz w:val="26"/>
          <w:szCs w:val="26"/>
        </w:rPr>
        <w:t>9</w:t>
      </w:r>
      <w:r w:rsidR="007B5E89">
        <w:rPr>
          <w:rFonts w:ascii="Arial" w:hAnsi="Arial" w:cs="Arial"/>
          <w:b/>
          <w:bCs/>
          <w:color w:val="000000"/>
          <w:sz w:val="26"/>
          <w:szCs w:val="26"/>
        </w:rPr>
        <w:t>05547</w:t>
      </w:r>
    </w:p>
    <w:p w14:paraId="55C39378" w14:textId="4A0B2D56" w:rsidR="00E85CB2" w:rsidRDefault="0018036D"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Reno, Nevada, USA, 13</w:t>
      </w:r>
      <w:r w:rsidRPr="00692765">
        <w:rPr>
          <w:rFonts w:ascii="Arial" w:hAnsi="Arial"/>
          <w:b/>
          <w:sz w:val="24"/>
          <w:szCs w:val="24"/>
          <w:vertAlign w:val="superscript"/>
          <w:lang w:eastAsia="zh-CN"/>
        </w:rPr>
        <w:t>th</w:t>
      </w:r>
      <w:r>
        <w:rPr>
          <w:rFonts w:ascii="Arial" w:hAnsi="Arial"/>
          <w:b/>
          <w:sz w:val="24"/>
          <w:szCs w:val="24"/>
          <w:lang w:eastAsia="zh-CN"/>
        </w:rPr>
        <w:t xml:space="preserve"> – 17</w:t>
      </w:r>
      <w:r>
        <w:rPr>
          <w:rFonts w:ascii="Arial" w:hAnsi="Arial"/>
          <w:b/>
          <w:sz w:val="24"/>
          <w:szCs w:val="24"/>
          <w:vertAlign w:val="superscript"/>
          <w:lang w:eastAsia="zh-CN"/>
        </w:rPr>
        <w:t xml:space="preserve">th </w:t>
      </w:r>
      <w:proofErr w:type="gramStart"/>
      <w:r>
        <w:rPr>
          <w:rFonts w:ascii="Arial" w:hAnsi="Arial"/>
          <w:b/>
          <w:sz w:val="24"/>
          <w:szCs w:val="24"/>
          <w:lang w:eastAsia="zh-CN"/>
        </w:rPr>
        <w:t>May,</w:t>
      </w:r>
      <w:proofErr w:type="gramEnd"/>
      <w:r>
        <w:rPr>
          <w:rFonts w:ascii="Arial" w:hAnsi="Arial"/>
          <w:b/>
          <w:sz w:val="24"/>
          <w:szCs w:val="24"/>
          <w:lang w:eastAsia="zh-CN"/>
        </w:rPr>
        <w:t xml:space="preserve"> </w:t>
      </w:r>
      <w:r w:rsidR="00E85CB2" w:rsidRPr="00383F56">
        <w:rPr>
          <w:rFonts w:ascii="Arial" w:hAnsi="Arial"/>
          <w:b/>
          <w:sz w:val="24"/>
          <w:szCs w:val="24"/>
          <w:lang w:eastAsia="zh-CN"/>
        </w:rPr>
        <w:t>201</w:t>
      </w:r>
      <w:r w:rsidR="00E85CB2">
        <w:rPr>
          <w:rFonts w:ascii="Arial" w:hAnsi="Arial"/>
          <w:b/>
          <w:sz w:val="24"/>
          <w:szCs w:val="24"/>
          <w:lang w:eastAsia="zh-CN"/>
        </w:rPr>
        <w:t>9</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6C1193A2" w14:textId="77777777" w:rsidR="001A258E" w:rsidRPr="006D3016" w:rsidRDefault="001A258E" w:rsidP="001A258E">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 xml:space="preserve">11.10.5 </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43CCA738"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B82B08">
        <w:rPr>
          <w:rFonts w:ascii="Arial" w:eastAsia="Times New Roman" w:hAnsi="Arial" w:cs="Arial"/>
          <w:b/>
          <w:bCs/>
          <w:sz w:val="24"/>
        </w:rPr>
        <w:t>Remaining issues in Fast MCG Recovery</w:t>
      </w:r>
    </w:p>
    <w:p w14:paraId="00DF3037" w14:textId="77777777" w:rsidR="00667557" w:rsidRDefault="00667557" w:rsidP="00667557">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sidRPr="005829A0">
        <w:rPr>
          <w:rFonts w:ascii="Arial" w:hAnsi="Arial" w:cs="Arial"/>
          <w:b/>
          <w:bCs/>
          <w:sz w:val="24"/>
          <w:szCs w:val="24"/>
        </w:rPr>
        <w:t>LTE_NR_DC_CA_enh</w:t>
      </w:r>
      <w:proofErr w:type="spellEnd"/>
      <w:r w:rsidRPr="005829A0">
        <w:rPr>
          <w:rFonts w:ascii="Arial" w:hAnsi="Arial" w:cs="Arial"/>
          <w:b/>
          <w:bCs/>
          <w:sz w:val="24"/>
          <w:szCs w:val="24"/>
        </w:rPr>
        <w:t>-Core</w:t>
      </w:r>
      <w:r>
        <w:rPr>
          <w:rFonts w:ascii="Arial" w:eastAsia="Times New Roman" w:hAnsi="Arial" w:cs="Arial"/>
          <w:b/>
          <w:bCs/>
          <w:sz w:val="24"/>
        </w:rPr>
        <w:t xml:space="preserve"> – Release 16</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06FF4D5A" w14:textId="77892E50" w:rsidR="00875AD1" w:rsidRDefault="008A2D50" w:rsidP="00E85CB2">
      <w:r>
        <w:t>The topic of “Fast MCG link Recovery”, which is part of Rel-16 WI on “Multi-RAT Dual Connectivity and Carrier Aggregation enhancements”, was discussed at RAN2</w:t>
      </w:r>
      <w:r w:rsidR="00592222">
        <w:t xml:space="preserve"> </w:t>
      </w:r>
      <w:r>
        <w:t>#105</w:t>
      </w:r>
      <w:r w:rsidR="00B82B08">
        <w:t>bis</w:t>
      </w:r>
      <w:r>
        <w:t xml:space="preserve">, and the following set of agreements were </w:t>
      </w:r>
      <w:r w:rsidR="009429ED">
        <w:t>made</w:t>
      </w:r>
      <w:r>
        <w:t>:</w:t>
      </w:r>
    </w:p>
    <w:p w14:paraId="64C2B044" w14:textId="6D0F55A6" w:rsidR="00FD269B" w:rsidRDefault="00FD269B" w:rsidP="00E85CB2">
      <w:r>
        <w:rPr>
          <w:noProof/>
        </w:rPr>
        <mc:AlternateContent>
          <mc:Choice Requires="wps">
            <w:drawing>
              <wp:anchor distT="45720" distB="45720" distL="114300" distR="114300" simplePos="0" relativeHeight="251659264" behindDoc="0" locked="0" layoutInCell="1" allowOverlap="1" wp14:anchorId="182B3867" wp14:editId="42680990">
                <wp:simplePos x="0" y="0"/>
                <wp:positionH relativeFrom="column">
                  <wp:posOffset>942975</wp:posOffset>
                </wp:positionH>
                <wp:positionV relativeFrom="paragraph">
                  <wp:posOffset>26670</wp:posOffset>
                </wp:positionV>
                <wp:extent cx="4505325" cy="332422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5325" cy="3324225"/>
                        </a:xfrm>
                        <a:prstGeom prst="rect">
                          <a:avLst/>
                        </a:prstGeom>
                        <a:solidFill>
                          <a:srgbClr val="FFFFFF"/>
                        </a:solidFill>
                        <a:ln w="9525">
                          <a:solidFill>
                            <a:srgbClr val="000000"/>
                          </a:solidFill>
                          <a:miter lim="800000"/>
                          <a:headEnd/>
                          <a:tailEnd/>
                        </a:ln>
                      </wps:spPr>
                      <wps:txbx>
                        <w:txbxContent>
                          <w:p w14:paraId="47F7C9CC" w14:textId="77777777" w:rsidR="00FD269B" w:rsidRPr="00FD269B" w:rsidRDefault="00FD269B" w:rsidP="00FD269B">
                            <w:pPr>
                              <w:pStyle w:val="Doc-text2"/>
                              <w:ind w:left="363"/>
                              <w:rPr>
                                <w:rFonts w:ascii="Times New Roman" w:eastAsia="Times New Roman" w:hAnsi="Times New Roman" w:cs="Times New Roman"/>
                                <w:b/>
                                <w:sz w:val="20"/>
                                <w:szCs w:val="20"/>
                                <w:lang w:val="en-US" w:eastAsia="ja-JP"/>
                              </w:rPr>
                            </w:pPr>
                            <w:r w:rsidRPr="00FD269B">
                              <w:rPr>
                                <w:rFonts w:ascii="Times New Roman" w:eastAsia="Calibri" w:hAnsi="Times New Roman" w:cs="Times New Roman"/>
                                <w:b/>
                                <w:sz w:val="20"/>
                                <w:szCs w:val="20"/>
                                <w:lang w:val="en-US" w:eastAsia="ja-JP"/>
                              </w:rPr>
                              <w:t>Agreements for MCG fast recovery:</w:t>
                            </w:r>
                          </w:p>
                          <w:p w14:paraId="0805825F" w14:textId="77777777" w:rsidR="00FD269B" w:rsidRPr="0084602F" w:rsidRDefault="00FD269B" w:rsidP="00FD269B">
                            <w:pPr>
                              <w:spacing w:after="0"/>
                              <w:ind w:left="363" w:hanging="363"/>
                              <w:rPr>
                                <w:rFonts w:eastAsia="Calibri"/>
                                <w:lang w:val="en-US" w:eastAsia="ja-JP"/>
                              </w:rPr>
                            </w:pPr>
                            <w:r w:rsidRPr="0084602F">
                              <w:rPr>
                                <w:rFonts w:eastAsia="Calibri"/>
                                <w:lang w:val="en-US" w:eastAsia="ja-JP"/>
                              </w:rPr>
                              <w:t>0    MCG fast recovery targets all MRDC architecture options</w:t>
                            </w:r>
                          </w:p>
                          <w:p w14:paraId="56673DD8" w14:textId="77777777" w:rsidR="00FD269B" w:rsidRPr="0084602F" w:rsidRDefault="00FD269B" w:rsidP="00FD269B">
                            <w:pPr>
                              <w:spacing w:after="0"/>
                              <w:ind w:left="363" w:hanging="363"/>
                              <w:rPr>
                                <w:rFonts w:eastAsia="Calibri"/>
                                <w:lang w:val="en-US" w:eastAsia="ja-JP"/>
                              </w:rPr>
                            </w:pPr>
                            <w:r w:rsidRPr="0084602F">
                              <w:rPr>
                                <w:rFonts w:eastAsia="Calibri"/>
                                <w:lang w:val="en-US" w:eastAsia="ja-JP"/>
                              </w:rPr>
                              <w:t>1:   When MCG failure occurs, UE follows SCG failure-like procedure:</w:t>
                            </w:r>
                          </w:p>
                          <w:p w14:paraId="51BC5E4F" w14:textId="77777777" w:rsidR="00FD269B" w:rsidRPr="0084602F" w:rsidRDefault="00FD269B" w:rsidP="00FD269B">
                            <w:pPr>
                              <w:spacing w:after="0"/>
                              <w:ind w:left="363" w:hanging="363"/>
                              <w:rPr>
                                <w:rFonts w:eastAsia="Calibri"/>
                                <w:lang w:val="en-US" w:eastAsia="ja-JP"/>
                              </w:rPr>
                            </w:pPr>
                            <w:proofErr w:type="spellStart"/>
                            <w:r w:rsidRPr="0084602F">
                              <w:rPr>
                                <w:rFonts w:eastAsia="Calibri"/>
                                <w:lang w:val="en-US" w:eastAsia="ja-JP"/>
                              </w:rPr>
                              <w:t>i</w:t>
                            </w:r>
                            <w:proofErr w:type="spellEnd"/>
                            <w:r w:rsidRPr="0084602F">
                              <w:rPr>
                                <w:rFonts w:eastAsia="Calibri"/>
                                <w:lang w:val="en-US" w:eastAsia="ja-JP"/>
                              </w:rPr>
                              <w:t>.    UE does not trigger RRC connection re-establishment.</w:t>
                            </w:r>
                          </w:p>
                          <w:p w14:paraId="427AEA8B" w14:textId="77777777" w:rsidR="00FD269B" w:rsidRPr="0084602F" w:rsidRDefault="00FD269B" w:rsidP="00FD269B">
                            <w:pPr>
                              <w:spacing w:after="0"/>
                              <w:ind w:left="363" w:hanging="363"/>
                              <w:rPr>
                                <w:rFonts w:eastAsia="Calibri"/>
                                <w:lang w:val="en-US" w:eastAsia="ja-JP"/>
                              </w:rPr>
                            </w:pPr>
                            <w:r w:rsidRPr="0084602F">
                              <w:rPr>
                                <w:rFonts w:eastAsia="Calibri"/>
                                <w:lang w:val="en-US" w:eastAsia="ja-JP"/>
                              </w:rPr>
                              <w:t>ii.    UE triggers an MCG failure procedure in which a failure information message is transmitted to the network via SCG.</w:t>
                            </w:r>
                          </w:p>
                          <w:p w14:paraId="0084BB47" w14:textId="77777777" w:rsidR="00FD269B" w:rsidRPr="0084602F" w:rsidRDefault="00FD269B" w:rsidP="00FD269B">
                            <w:pPr>
                              <w:spacing w:after="0"/>
                              <w:ind w:left="363" w:hanging="363"/>
                              <w:rPr>
                                <w:rFonts w:eastAsia="Calibri"/>
                                <w:lang w:val="en-US" w:eastAsia="ja-JP"/>
                              </w:rPr>
                            </w:pPr>
                            <w:r w:rsidRPr="0084602F">
                              <w:rPr>
                                <w:rFonts w:eastAsia="Calibri"/>
                                <w:lang w:val="en-US" w:eastAsia="ja-JP"/>
                              </w:rPr>
                              <w:t>2:   MCG fast recovery targets the following use cases MCG leg RLF</w:t>
                            </w:r>
                          </w:p>
                          <w:p w14:paraId="7F115207" w14:textId="77777777" w:rsidR="00FD269B" w:rsidRPr="0084602F" w:rsidRDefault="00FD269B" w:rsidP="00FD269B">
                            <w:pPr>
                              <w:spacing w:after="0"/>
                              <w:ind w:left="363" w:hanging="363"/>
                              <w:rPr>
                                <w:rFonts w:eastAsia="Calibri"/>
                                <w:lang w:val="en-US" w:eastAsia="ja-JP"/>
                              </w:rPr>
                            </w:pPr>
                            <w:r w:rsidRPr="0084602F">
                              <w:rPr>
                                <w:rFonts w:eastAsia="Calibri"/>
                                <w:lang w:val="en-US" w:eastAsia="ja-JP"/>
                              </w:rPr>
                              <w:t>FFS: Other uses cases. Can consider in future whether the mechanism can be also be applied in the case of other MCG failures.</w:t>
                            </w:r>
                          </w:p>
                          <w:p w14:paraId="5684E26F" w14:textId="77777777" w:rsidR="00FD269B" w:rsidRPr="0084602F" w:rsidRDefault="00FD269B" w:rsidP="00FD269B">
                            <w:pPr>
                              <w:spacing w:after="0"/>
                              <w:ind w:left="363" w:hanging="363"/>
                              <w:rPr>
                                <w:rFonts w:eastAsia="Calibri"/>
                                <w:lang w:val="en-US" w:eastAsia="ja-JP"/>
                              </w:rPr>
                            </w:pPr>
                            <w:r w:rsidRPr="0084602F">
                              <w:rPr>
                                <w:rFonts w:eastAsia="Calibri"/>
                                <w:lang w:val="en-US" w:eastAsia="ja-JP"/>
                              </w:rPr>
                              <w:t>3    MCG fast recovery can only be triggered after AS security has been activated and the SRB2 and at least one DRB have been setup</w:t>
                            </w:r>
                          </w:p>
                          <w:p w14:paraId="42EFA67F" w14:textId="77777777" w:rsidR="00FD269B" w:rsidRPr="0084602F" w:rsidRDefault="00FD269B" w:rsidP="00FD269B">
                            <w:pPr>
                              <w:spacing w:after="0"/>
                              <w:ind w:left="363" w:hanging="363"/>
                              <w:rPr>
                                <w:rFonts w:eastAsia="Calibri"/>
                                <w:lang w:val="en-US" w:eastAsia="ja-JP"/>
                              </w:rPr>
                            </w:pPr>
                            <w:r w:rsidRPr="0084602F">
                              <w:rPr>
                                <w:rFonts w:eastAsia="Calibri"/>
                                <w:lang w:val="en-US" w:eastAsia="ja-JP"/>
                              </w:rPr>
                              <w:t>4    MCG failure indication should include:</w:t>
                            </w:r>
                          </w:p>
                          <w:p w14:paraId="7ED33EBC" w14:textId="77777777" w:rsidR="00FD269B" w:rsidRPr="0084602F" w:rsidRDefault="00FD269B" w:rsidP="00FD269B">
                            <w:pPr>
                              <w:spacing w:after="0"/>
                              <w:ind w:left="363" w:hanging="363"/>
                              <w:rPr>
                                <w:rFonts w:eastAsia="Calibri"/>
                                <w:lang w:val="en-US" w:eastAsia="ja-JP"/>
                              </w:rPr>
                            </w:pPr>
                            <w:proofErr w:type="spellStart"/>
                            <w:r w:rsidRPr="0084602F">
                              <w:rPr>
                                <w:rFonts w:eastAsia="Calibri"/>
                                <w:lang w:val="en-US" w:eastAsia="ja-JP"/>
                              </w:rPr>
                              <w:t>i</w:t>
                            </w:r>
                            <w:proofErr w:type="spellEnd"/>
                            <w:r w:rsidRPr="0084602F">
                              <w:rPr>
                                <w:rFonts w:eastAsia="Calibri"/>
                                <w:lang w:val="en-US" w:eastAsia="ja-JP"/>
                              </w:rPr>
                              <w:t>.    Available measurement results of MCG</w:t>
                            </w:r>
                          </w:p>
                          <w:p w14:paraId="091AA205" w14:textId="77777777" w:rsidR="00FD269B" w:rsidRPr="0084602F" w:rsidRDefault="00FD269B" w:rsidP="00FD269B">
                            <w:pPr>
                              <w:spacing w:after="0"/>
                              <w:ind w:left="363" w:hanging="363"/>
                              <w:rPr>
                                <w:rFonts w:eastAsia="Calibri"/>
                                <w:lang w:val="en-US" w:eastAsia="ja-JP"/>
                              </w:rPr>
                            </w:pPr>
                            <w:r w:rsidRPr="0084602F">
                              <w:rPr>
                                <w:rFonts w:eastAsia="Calibri"/>
                                <w:lang w:val="en-US" w:eastAsia="ja-JP"/>
                              </w:rPr>
                              <w:t>ii.    MCG link failure cause</w:t>
                            </w:r>
                          </w:p>
                          <w:p w14:paraId="5DC646B2" w14:textId="77777777" w:rsidR="00FD269B" w:rsidRPr="0084602F" w:rsidRDefault="00FD269B" w:rsidP="00FD269B">
                            <w:pPr>
                              <w:spacing w:after="0"/>
                              <w:ind w:left="363" w:hanging="363"/>
                              <w:rPr>
                                <w:rFonts w:eastAsia="Calibri"/>
                                <w:lang w:val="en-US" w:eastAsia="ja-JP"/>
                              </w:rPr>
                            </w:pPr>
                            <w:r w:rsidRPr="0084602F">
                              <w:rPr>
                                <w:rFonts w:eastAsia="Calibri"/>
                                <w:lang w:val="en-US" w:eastAsia="ja-JP"/>
                              </w:rPr>
                              <w:t>iii.   Available measurement results of SCG</w:t>
                            </w:r>
                          </w:p>
                          <w:p w14:paraId="1A93134D" w14:textId="77777777" w:rsidR="00FD269B" w:rsidRPr="0084602F" w:rsidRDefault="00FD269B" w:rsidP="00FD269B">
                            <w:pPr>
                              <w:spacing w:after="0"/>
                              <w:ind w:left="363" w:hanging="363"/>
                              <w:rPr>
                                <w:rFonts w:eastAsia="Calibri"/>
                                <w:lang w:val="en-US" w:eastAsia="ja-JP"/>
                              </w:rPr>
                            </w:pPr>
                            <w:r w:rsidRPr="0084602F">
                              <w:rPr>
                                <w:rFonts w:eastAsia="Calibri"/>
                                <w:lang w:val="en-US" w:eastAsia="ja-JP"/>
                              </w:rPr>
                              <w:t>iv.  Available measurement results of non-serving cells</w:t>
                            </w:r>
                          </w:p>
                          <w:p w14:paraId="17583563" w14:textId="77777777" w:rsidR="00FD269B" w:rsidRPr="0084602F" w:rsidRDefault="00FD269B" w:rsidP="00FD269B">
                            <w:pPr>
                              <w:spacing w:after="0"/>
                              <w:ind w:left="363" w:hanging="363"/>
                              <w:rPr>
                                <w:rFonts w:eastAsia="Calibri"/>
                                <w:lang w:val="en-US" w:eastAsia="ja-JP"/>
                              </w:rPr>
                            </w:pPr>
                            <w:r w:rsidRPr="0084602F">
                              <w:rPr>
                                <w:rFonts w:eastAsia="Calibri"/>
                                <w:lang w:val="en-US" w:eastAsia="ja-JP"/>
                              </w:rPr>
                              <w:t xml:space="preserve">5:   For MCG failure indication, new RRC message in introduced, e.g. </w:t>
                            </w:r>
                            <w:proofErr w:type="spellStart"/>
                            <w:r w:rsidRPr="0084602F">
                              <w:rPr>
                                <w:rFonts w:eastAsia="Calibri"/>
                                <w:lang w:val="en-US" w:eastAsia="ja-JP"/>
                              </w:rPr>
                              <w:t>MCGFailureInformation</w:t>
                            </w:r>
                            <w:proofErr w:type="spellEnd"/>
                            <w:r w:rsidRPr="0084602F">
                              <w:rPr>
                                <w:rFonts w:eastAsia="Calibri"/>
                                <w:lang w:val="en-US" w:eastAsia="ja-JP"/>
                              </w:rPr>
                              <w:t>.</w:t>
                            </w:r>
                          </w:p>
                          <w:p w14:paraId="2E04C439" w14:textId="77777777" w:rsidR="00FD269B" w:rsidRPr="0084602F" w:rsidRDefault="00FD269B" w:rsidP="00FD269B">
                            <w:pPr>
                              <w:spacing w:after="0"/>
                              <w:ind w:left="363" w:hanging="363"/>
                              <w:rPr>
                                <w:rFonts w:eastAsia="Calibri"/>
                                <w:lang w:val="en-US" w:eastAsia="ja-JP"/>
                              </w:rPr>
                            </w:pPr>
                            <w:r w:rsidRPr="0084602F">
                              <w:rPr>
                                <w:rFonts w:eastAsia="Calibri"/>
                                <w:lang w:val="en-US" w:eastAsia="ja-JP"/>
                              </w:rPr>
                              <w:t>6:   SCG leg of the split SRB1 can be used for MCG fast recovery.</w:t>
                            </w:r>
                          </w:p>
                          <w:p w14:paraId="07E88D76" w14:textId="77777777" w:rsidR="00FD269B" w:rsidRPr="0084602F" w:rsidRDefault="00FD269B" w:rsidP="00FD269B">
                            <w:pPr>
                              <w:spacing w:after="0"/>
                              <w:ind w:left="363" w:hanging="363"/>
                              <w:rPr>
                                <w:rFonts w:eastAsia="Calibri"/>
                                <w:lang w:val="en-US" w:eastAsia="ja-JP"/>
                              </w:rPr>
                            </w:pPr>
                            <w:r w:rsidRPr="0084602F">
                              <w:rPr>
                                <w:rFonts w:eastAsia="Calibri"/>
                                <w:lang w:val="en-US" w:eastAsia="ja-JP"/>
                              </w:rPr>
                              <w:t>FFS: If configured, SRB3 can be used for MCG fast recovery. Priority is to complete the solution based on split SRB1</w:t>
                            </w:r>
                          </w:p>
                          <w:p w14:paraId="7F8797AB" w14:textId="77777777" w:rsidR="00FD269B" w:rsidRDefault="00FD269B" w:rsidP="00FD269B">
                            <w:r w:rsidRPr="0084602F">
                              <w:rPr>
                                <w:rFonts w:eastAsia="Calibri"/>
                                <w:lang w:val="en-US" w:eastAsia="ja-JP"/>
                              </w:rPr>
                              <w:t>7:   New SRB is not introduced for MCG fast recovery.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2B3867" id="_x0000_t202" coordsize="21600,21600" o:spt="202" path="m,l,21600r21600,l21600,xe">
                <v:stroke joinstyle="miter"/>
                <v:path gradientshapeok="t" o:connecttype="rect"/>
              </v:shapetype>
              <v:shape id="Text Box 2" o:spid="_x0000_s1026" type="#_x0000_t202" style="position:absolute;margin-left:74.25pt;margin-top:2.1pt;width:354.75pt;height:26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">
                <v:textbox>
                  <w:txbxContent>
                    <w:p w14:paraId="47F7C9CC" w14:textId="77777777" w:rsidR="00FD269B" w:rsidRPr="00FD269B" w:rsidRDefault="00FD269B" w:rsidP="00FD269B">
                      <w:pPr>
                        <w:pStyle w:val="Doc-text2"/>
                        <w:ind w:left="363"/>
                        <w:rPr>
                          <w:rFonts w:ascii="Times New Roman" w:eastAsia="Times New Roman" w:hAnsi="Times New Roman" w:cs="Times New Roman"/>
                          <w:b/>
                          <w:sz w:val="20"/>
                          <w:szCs w:val="20"/>
                          <w:lang w:val="en-US" w:eastAsia="ja-JP"/>
                        </w:rPr>
                      </w:pPr>
                      <w:r w:rsidRPr="00FD269B">
                        <w:rPr>
                          <w:rFonts w:ascii="Times New Roman" w:eastAsia="Calibri" w:hAnsi="Times New Roman" w:cs="Times New Roman"/>
                          <w:b/>
                          <w:sz w:val="20"/>
                          <w:szCs w:val="20"/>
                          <w:lang w:val="en-US" w:eastAsia="ja-JP"/>
                        </w:rPr>
                        <w:t>Agreements for MCG fast recovery:</w:t>
                      </w:r>
                    </w:p>
                    <w:p w14:paraId="0805825F" w14:textId="77777777" w:rsidR="00FD269B" w:rsidRPr="0084602F" w:rsidRDefault="00FD269B" w:rsidP="00FD269B">
                      <w:pPr>
                        <w:spacing w:after="0"/>
                        <w:ind w:left="363" w:hanging="363"/>
                        <w:rPr>
                          <w:rFonts w:eastAsia="Calibri"/>
                          <w:lang w:val="en-US" w:eastAsia="ja-JP"/>
                        </w:rPr>
                      </w:pPr>
                      <w:r w:rsidRPr="0084602F">
                        <w:rPr>
                          <w:rFonts w:eastAsia="Calibri"/>
                          <w:lang w:val="en-US" w:eastAsia="ja-JP"/>
                        </w:rPr>
                        <w:t>0    MCG fast recovery targets all MRDC architecture options</w:t>
                      </w:r>
                    </w:p>
                    <w:p w14:paraId="56673DD8" w14:textId="77777777" w:rsidR="00FD269B" w:rsidRPr="0084602F" w:rsidRDefault="00FD269B" w:rsidP="00FD269B">
                      <w:pPr>
                        <w:spacing w:after="0"/>
                        <w:ind w:left="363" w:hanging="363"/>
                        <w:rPr>
                          <w:rFonts w:eastAsia="Calibri"/>
                          <w:lang w:val="en-US" w:eastAsia="ja-JP"/>
                        </w:rPr>
                      </w:pPr>
                      <w:r w:rsidRPr="0084602F">
                        <w:rPr>
                          <w:rFonts w:eastAsia="Calibri"/>
                          <w:lang w:val="en-US" w:eastAsia="ja-JP"/>
                        </w:rPr>
                        <w:t>1:   When MCG failure occurs, UE follows SCG failure-like procedure:</w:t>
                      </w:r>
                    </w:p>
                    <w:p w14:paraId="51BC5E4F" w14:textId="77777777" w:rsidR="00FD269B" w:rsidRPr="0084602F" w:rsidRDefault="00FD269B" w:rsidP="00FD269B">
                      <w:pPr>
                        <w:spacing w:after="0"/>
                        <w:ind w:left="363" w:hanging="363"/>
                        <w:rPr>
                          <w:rFonts w:eastAsia="Calibri"/>
                          <w:lang w:val="en-US" w:eastAsia="ja-JP"/>
                        </w:rPr>
                      </w:pPr>
                      <w:proofErr w:type="spellStart"/>
                      <w:r w:rsidRPr="0084602F">
                        <w:rPr>
                          <w:rFonts w:eastAsia="Calibri"/>
                          <w:lang w:val="en-US" w:eastAsia="ja-JP"/>
                        </w:rPr>
                        <w:t>i</w:t>
                      </w:r>
                      <w:proofErr w:type="spellEnd"/>
                      <w:r w:rsidRPr="0084602F">
                        <w:rPr>
                          <w:rFonts w:eastAsia="Calibri"/>
                          <w:lang w:val="en-US" w:eastAsia="ja-JP"/>
                        </w:rPr>
                        <w:t>.    UE does not trigger RRC connection re-establishment.</w:t>
                      </w:r>
                    </w:p>
                    <w:p w14:paraId="427AEA8B" w14:textId="77777777" w:rsidR="00FD269B" w:rsidRPr="0084602F" w:rsidRDefault="00FD269B" w:rsidP="00FD269B">
                      <w:pPr>
                        <w:spacing w:after="0"/>
                        <w:ind w:left="363" w:hanging="363"/>
                        <w:rPr>
                          <w:rFonts w:eastAsia="Calibri"/>
                          <w:lang w:val="en-US" w:eastAsia="ja-JP"/>
                        </w:rPr>
                      </w:pPr>
                      <w:r w:rsidRPr="0084602F">
                        <w:rPr>
                          <w:rFonts w:eastAsia="Calibri"/>
                          <w:lang w:val="en-US" w:eastAsia="ja-JP"/>
                        </w:rPr>
                        <w:t>ii.    UE triggers an MCG failure procedure in which a failure information message is transmitted to the network via SCG.</w:t>
                      </w:r>
                    </w:p>
                    <w:p w14:paraId="0084BB47" w14:textId="77777777" w:rsidR="00FD269B" w:rsidRPr="0084602F" w:rsidRDefault="00FD269B" w:rsidP="00FD269B">
                      <w:pPr>
                        <w:spacing w:after="0"/>
                        <w:ind w:left="363" w:hanging="363"/>
                        <w:rPr>
                          <w:rFonts w:eastAsia="Calibri"/>
                          <w:lang w:val="en-US" w:eastAsia="ja-JP"/>
                        </w:rPr>
                      </w:pPr>
                      <w:r w:rsidRPr="0084602F">
                        <w:rPr>
                          <w:rFonts w:eastAsia="Calibri"/>
                          <w:lang w:val="en-US" w:eastAsia="ja-JP"/>
                        </w:rPr>
                        <w:t>2:   MCG fast recovery targets the following use cases MCG leg RLF</w:t>
                      </w:r>
                    </w:p>
                    <w:p w14:paraId="7F115207" w14:textId="77777777" w:rsidR="00FD269B" w:rsidRPr="0084602F" w:rsidRDefault="00FD269B" w:rsidP="00FD269B">
                      <w:pPr>
                        <w:spacing w:after="0"/>
                        <w:ind w:left="363" w:hanging="363"/>
                        <w:rPr>
                          <w:rFonts w:eastAsia="Calibri"/>
                          <w:lang w:val="en-US" w:eastAsia="ja-JP"/>
                        </w:rPr>
                      </w:pPr>
                      <w:r w:rsidRPr="0084602F">
                        <w:rPr>
                          <w:rFonts w:eastAsia="Calibri"/>
                          <w:lang w:val="en-US" w:eastAsia="ja-JP"/>
                        </w:rPr>
                        <w:t>FFS: Other uses cases. Can consider in future whether the mechanism can be also be applied in the case of other MCG failures.</w:t>
                      </w:r>
                    </w:p>
                    <w:p w14:paraId="5684E26F" w14:textId="77777777" w:rsidR="00FD269B" w:rsidRPr="0084602F" w:rsidRDefault="00FD269B" w:rsidP="00FD269B">
                      <w:pPr>
                        <w:spacing w:after="0"/>
                        <w:ind w:left="363" w:hanging="363"/>
                        <w:rPr>
                          <w:rFonts w:eastAsia="Calibri"/>
                          <w:lang w:val="en-US" w:eastAsia="ja-JP"/>
                        </w:rPr>
                      </w:pPr>
                      <w:r w:rsidRPr="0084602F">
                        <w:rPr>
                          <w:rFonts w:eastAsia="Calibri"/>
                          <w:lang w:val="en-US" w:eastAsia="ja-JP"/>
                        </w:rPr>
                        <w:t>3    MCG fast recovery can only be triggered after AS security has been activated and the SRB2 and at least one DRB have been setup</w:t>
                      </w:r>
                    </w:p>
                    <w:p w14:paraId="42EFA67F" w14:textId="77777777" w:rsidR="00FD269B" w:rsidRPr="0084602F" w:rsidRDefault="00FD269B" w:rsidP="00FD269B">
                      <w:pPr>
                        <w:spacing w:after="0"/>
                        <w:ind w:left="363" w:hanging="363"/>
                        <w:rPr>
                          <w:rFonts w:eastAsia="Calibri"/>
                          <w:lang w:val="en-US" w:eastAsia="ja-JP"/>
                        </w:rPr>
                      </w:pPr>
                      <w:r w:rsidRPr="0084602F">
                        <w:rPr>
                          <w:rFonts w:eastAsia="Calibri"/>
                          <w:lang w:val="en-US" w:eastAsia="ja-JP"/>
                        </w:rPr>
                        <w:t>4    MCG failure indication should include:</w:t>
                      </w:r>
                    </w:p>
                    <w:p w14:paraId="7ED33EBC" w14:textId="77777777" w:rsidR="00FD269B" w:rsidRPr="0084602F" w:rsidRDefault="00FD269B" w:rsidP="00FD269B">
                      <w:pPr>
                        <w:spacing w:after="0"/>
                        <w:ind w:left="363" w:hanging="363"/>
                        <w:rPr>
                          <w:rFonts w:eastAsia="Calibri"/>
                          <w:lang w:val="en-US" w:eastAsia="ja-JP"/>
                        </w:rPr>
                      </w:pPr>
                      <w:proofErr w:type="spellStart"/>
                      <w:r w:rsidRPr="0084602F">
                        <w:rPr>
                          <w:rFonts w:eastAsia="Calibri"/>
                          <w:lang w:val="en-US" w:eastAsia="ja-JP"/>
                        </w:rPr>
                        <w:t>i</w:t>
                      </w:r>
                      <w:proofErr w:type="spellEnd"/>
                      <w:r w:rsidRPr="0084602F">
                        <w:rPr>
                          <w:rFonts w:eastAsia="Calibri"/>
                          <w:lang w:val="en-US" w:eastAsia="ja-JP"/>
                        </w:rPr>
                        <w:t>.    Available measurement results of MCG</w:t>
                      </w:r>
                    </w:p>
                    <w:p w14:paraId="091AA205" w14:textId="77777777" w:rsidR="00FD269B" w:rsidRPr="0084602F" w:rsidRDefault="00FD269B" w:rsidP="00FD269B">
                      <w:pPr>
                        <w:spacing w:after="0"/>
                        <w:ind w:left="363" w:hanging="363"/>
                        <w:rPr>
                          <w:rFonts w:eastAsia="Calibri"/>
                          <w:lang w:val="en-US" w:eastAsia="ja-JP"/>
                        </w:rPr>
                      </w:pPr>
                      <w:r w:rsidRPr="0084602F">
                        <w:rPr>
                          <w:rFonts w:eastAsia="Calibri"/>
                          <w:lang w:val="en-US" w:eastAsia="ja-JP"/>
                        </w:rPr>
                        <w:t>ii.    MCG link failure cause</w:t>
                      </w:r>
                    </w:p>
                    <w:p w14:paraId="5DC646B2" w14:textId="77777777" w:rsidR="00FD269B" w:rsidRPr="0084602F" w:rsidRDefault="00FD269B" w:rsidP="00FD269B">
                      <w:pPr>
                        <w:spacing w:after="0"/>
                        <w:ind w:left="363" w:hanging="363"/>
                        <w:rPr>
                          <w:rFonts w:eastAsia="Calibri"/>
                          <w:lang w:val="en-US" w:eastAsia="ja-JP"/>
                        </w:rPr>
                      </w:pPr>
                      <w:r w:rsidRPr="0084602F">
                        <w:rPr>
                          <w:rFonts w:eastAsia="Calibri"/>
                          <w:lang w:val="en-US" w:eastAsia="ja-JP"/>
                        </w:rPr>
                        <w:t>iii.   Available measurement results of SCG</w:t>
                      </w:r>
                    </w:p>
                    <w:p w14:paraId="1A93134D" w14:textId="77777777" w:rsidR="00FD269B" w:rsidRPr="0084602F" w:rsidRDefault="00FD269B" w:rsidP="00FD269B">
                      <w:pPr>
                        <w:spacing w:after="0"/>
                        <w:ind w:left="363" w:hanging="363"/>
                        <w:rPr>
                          <w:rFonts w:eastAsia="Calibri"/>
                          <w:lang w:val="en-US" w:eastAsia="ja-JP"/>
                        </w:rPr>
                      </w:pPr>
                      <w:r w:rsidRPr="0084602F">
                        <w:rPr>
                          <w:rFonts w:eastAsia="Calibri"/>
                          <w:lang w:val="en-US" w:eastAsia="ja-JP"/>
                        </w:rPr>
                        <w:t>iv.  Available measurement results of non-serving cells</w:t>
                      </w:r>
                    </w:p>
                    <w:p w14:paraId="17583563" w14:textId="77777777" w:rsidR="00FD269B" w:rsidRPr="0084602F" w:rsidRDefault="00FD269B" w:rsidP="00FD269B">
                      <w:pPr>
                        <w:spacing w:after="0"/>
                        <w:ind w:left="363" w:hanging="363"/>
                        <w:rPr>
                          <w:rFonts w:eastAsia="Calibri"/>
                          <w:lang w:val="en-US" w:eastAsia="ja-JP"/>
                        </w:rPr>
                      </w:pPr>
                      <w:r w:rsidRPr="0084602F">
                        <w:rPr>
                          <w:rFonts w:eastAsia="Calibri"/>
                          <w:lang w:val="en-US" w:eastAsia="ja-JP"/>
                        </w:rPr>
                        <w:t xml:space="preserve">5:   For MCG failure indication, new RRC message in introduced, e.g. </w:t>
                      </w:r>
                      <w:proofErr w:type="spellStart"/>
                      <w:r w:rsidRPr="0084602F">
                        <w:rPr>
                          <w:rFonts w:eastAsia="Calibri"/>
                          <w:lang w:val="en-US" w:eastAsia="ja-JP"/>
                        </w:rPr>
                        <w:t>MCGFailureInformation</w:t>
                      </w:r>
                      <w:proofErr w:type="spellEnd"/>
                      <w:r w:rsidRPr="0084602F">
                        <w:rPr>
                          <w:rFonts w:eastAsia="Calibri"/>
                          <w:lang w:val="en-US" w:eastAsia="ja-JP"/>
                        </w:rPr>
                        <w:t>.</w:t>
                      </w:r>
                    </w:p>
                    <w:p w14:paraId="2E04C439" w14:textId="77777777" w:rsidR="00FD269B" w:rsidRPr="0084602F" w:rsidRDefault="00FD269B" w:rsidP="00FD269B">
                      <w:pPr>
                        <w:spacing w:after="0"/>
                        <w:ind w:left="363" w:hanging="363"/>
                        <w:rPr>
                          <w:rFonts w:eastAsia="Calibri"/>
                          <w:lang w:val="en-US" w:eastAsia="ja-JP"/>
                        </w:rPr>
                      </w:pPr>
                      <w:r w:rsidRPr="0084602F">
                        <w:rPr>
                          <w:rFonts w:eastAsia="Calibri"/>
                          <w:lang w:val="en-US" w:eastAsia="ja-JP"/>
                        </w:rPr>
                        <w:t>6:   SCG leg of the split SRB1 can be used for MCG fast recovery.</w:t>
                      </w:r>
                    </w:p>
                    <w:p w14:paraId="07E88D76" w14:textId="77777777" w:rsidR="00FD269B" w:rsidRPr="0084602F" w:rsidRDefault="00FD269B" w:rsidP="00FD269B">
                      <w:pPr>
                        <w:spacing w:after="0"/>
                        <w:ind w:left="363" w:hanging="363"/>
                        <w:rPr>
                          <w:rFonts w:eastAsia="Calibri"/>
                          <w:lang w:val="en-US" w:eastAsia="ja-JP"/>
                        </w:rPr>
                      </w:pPr>
                      <w:r w:rsidRPr="0084602F">
                        <w:rPr>
                          <w:rFonts w:eastAsia="Calibri"/>
                          <w:lang w:val="en-US" w:eastAsia="ja-JP"/>
                        </w:rPr>
                        <w:t>FFS: If configured, SRB3 can be used for MCG fast recovery. Priority is to complete the solution based on split SRB1</w:t>
                      </w:r>
                    </w:p>
                    <w:p w14:paraId="7F8797AB" w14:textId="77777777" w:rsidR="00FD269B" w:rsidRDefault="00FD269B" w:rsidP="00FD269B">
                      <w:r w:rsidRPr="0084602F">
                        <w:rPr>
                          <w:rFonts w:eastAsia="Calibri"/>
                          <w:lang w:val="en-US" w:eastAsia="ja-JP"/>
                        </w:rPr>
                        <w:t>7:   New SRB is not introduced for MCG fast recovery.</w:t>
                      </w:r>
                    </w:p>
                  </w:txbxContent>
                </v:textbox>
                <w10:wrap type="square"/>
              </v:shape>
            </w:pict>
          </mc:Fallback>
        </mc:AlternateContent>
      </w:r>
    </w:p>
    <w:p w14:paraId="5ED7F37A" w14:textId="5C7AC61E" w:rsidR="008A2D50" w:rsidRDefault="008A2D50" w:rsidP="00E85CB2"/>
    <w:p w14:paraId="385FDDA9" w14:textId="50C77D47" w:rsidR="00FD269B" w:rsidRDefault="00FD269B" w:rsidP="00E85CB2"/>
    <w:p w14:paraId="101DE151" w14:textId="65598FB4" w:rsidR="00FD269B" w:rsidRDefault="00FD269B" w:rsidP="00E85CB2"/>
    <w:p w14:paraId="37EADDD5" w14:textId="484D0E5E" w:rsidR="00FD269B" w:rsidRDefault="00FD269B" w:rsidP="00E85CB2"/>
    <w:p w14:paraId="4F2D0BC2" w14:textId="0E28E2A1" w:rsidR="00FD269B" w:rsidRDefault="00FD269B" w:rsidP="00E85CB2"/>
    <w:p w14:paraId="518AE319" w14:textId="58372127" w:rsidR="00FD269B" w:rsidRDefault="00FD269B" w:rsidP="00E85CB2"/>
    <w:p w14:paraId="55FFC4A9" w14:textId="50286C06" w:rsidR="00FD269B" w:rsidRDefault="00FD269B" w:rsidP="00E85CB2"/>
    <w:p w14:paraId="39C4F9D9" w14:textId="54B1C13D" w:rsidR="00FD269B" w:rsidRDefault="00FD269B" w:rsidP="00E85CB2"/>
    <w:p w14:paraId="424F1EF8" w14:textId="7063F9D1" w:rsidR="00FD269B" w:rsidRDefault="00FD269B" w:rsidP="00E85CB2"/>
    <w:p w14:paraId="4673AC14" w14:textId="5E9D5D7F" w:rsidR="00FD269B" w:rsidRDefault="00FD269B" w:rsidP="00E85CB2"/>
    <w:p w14:paraId="5618AFFF" w14:textId="0C24A1D5" w:rsidR="00FD269B" w:rsidRDefault="00FD269B" w:rsidP="00E85CB2"/>
    <w:p w14:paraId="746113D6" w14:textId="77777777" w:rsidR="00FD269B" w:rsidRDefault="00FD269B" w:rsidP="00E85CB2"/>
    <w:p w14:paraId="084A7AD5" w14:textId="77777777" w:rsidR="00FD269B" w:rsidRDefault="00FD269B" w:rsidP="00E85CB2"/>
    <w:p w14:paraId="701F091B" w14:textId="604A2F97" w:rsidR="004C2A08" w:rsidRDefault="004C2A08" w:rsidP="00E85CB2">
      <w:r>
        <w:t xml:space="preserve">In this </w:t>
      </w:r>
      <w:r w:rsidR="0054239B">
        <w:t>paper</w:t>
      </w:r>
      <w:r>
        <w:t xml:space="preserve">, </w:t>
      </w:r>
      <w:r w:rsidR="004928AE">
        <w:t xml:space="preserve">we address </w:t>
      </w:r>
      <w:r w:rsidR="00B82B08">
        <w:t>some</w:t>
      </w:r>
      <w:r w:rsidR="004928AE">
        <w:t xml:space="preserve"> items that have </w:t>
      </w:r>
      <w:r w:rsidR="004930A8">
        <w:t xml:space="preserve">been </w:t>
      </w:r>
      <w:r w:rsidR="004B00C0">
        <w:t>indicat</w:t>
      </w:r>
      <w:r w:rsidR="004928AE">
        <w:t xml:space="preserve">ed </w:t>
      </w:r>
      <w:r w:rsidR="004B00C0">
        <w:t xml:space="preserve">as </w:t>
      </w:r>
      <w:r w:rsidR="004928AE">
        <w:t>FFS in the above set of agreements.</w:t>
      </w:r>
    </w:p>
    <w:p w14:paraId="5D3F2DE9" w14:textId="3F2AA466" w:rsidR="00512905" w:rsidRPr="00512905" w:rsidRDefault="005C0118" w:rsidP="00512905">
      <w:pPr>
        <w:pStyle w:val="Heading1"/>
        <w:numPr>
          <w:ilvl w:val="0"/>
          <w:numId w:val="1"/>
        </w:numPr>
        <w:pBdr>
          <w:top w:val="single" w:sz="12" w:space="2" w:color="auto"/>
        </w:pBdr>
      </w:pPr>
      <w:bookmarkStart w:id="1" w:name="_Hlk7529976"/>
      <w:r>
        <w:t>Discussion on whether HO failures (e.g., reconfiguration with sync failure</w:t>
      </w:r>
      <w:r w:rsidR="003B6B3A">
        <w:t>) should trigger Fast MCG recovery</w:t>
      </w:r>
      <w:bookmarkEnd w:id="1"/>
      <w:r>
        <w:t xml:space="preserve"> </w:t>
      </w:r>
    </w:p>
    <w:p w14:paraId="33C5B0C7" w14:textId="35158118" w:rsidR="004C0212" w:rsidRPr="001B1DD1" w:rsidRDefault="004C0212" w:rsidP="00CB1079">
      <w:pPr>
        <w:pStyle w:val="Caption"/>
        <w:rPr>
          <w:i w:val="0"/>
          <w:color w:val="auto"/>
          <w:sz w:val="20"/>
          <w:szCs w:val="20"/>
        </w:rPr>
      </w:pPr>
      <w:bookmarkStart w:id="2" w:name="_Ref535308766"/>
      <w:bookmarkStart w:id="3" w:name="_Ref535492080"/>
      <w:r w:rsidRPr="001B1DD1">
        <w:rPr>
          <w:i w:val="0"/>
          <w:color w:val="auto"/>
          <w:sz w:val="20"/>
          <w:szCs w:val="20"/>
        </w:rPr>
        <w:t xml:space="preserve">We </w:t>
      </w:r>
      <w:r w:rsidR="005D02E5">
        <w:rPr>
          <w:i w:val="0"/>
          <w:color w:val="auto"/>
          <w:sz w:val="20"/>
          <w:szCs w:val="20"/>
        </w:rPr>
        <w:t xml:space="preserve">first </w:t>
      </w:r>
      <w:r w:rsidRPr="001B1DD1">
        <w:rPr>
          <w:i w:val="0"/>
          <w:color w:val="auto"/>
          <w:sz w:val="20"/>
          <w:szCs w:val="20"/>
        </w:rPr>
        <w:t>discuss whether the following Inter-MN handover failure causes should trigger the Fast MCG Recovery procedure:</w:t>
      </w:r>
    </w:p>
    <w:p w14:paraId="0556FD72" w14:textId="77777777" w:rsidR="004C0212" w:rsidRPr="001B1DD1" w:rsidRDefault="004C0212" w:rsidP="004C0212">
      <w:pPr>
        <w:pStyle w:val="Caption"/>
        <w:numPr>
          <w:ilvl w:val="0"/>
          <w:numId w:val="28"/>
        </w:numPr>
        <w:rPr>
          <w:i w:val="0"/>
          <w:color w:val="auto"/>
          <w:sz w:val="20"/>
          <w:szCs w:val="20"/>
        </w:rPr>
      </w:pPr>
      <w:r w:rsidRPr="001B1DD1">
        <w:rPr>
          <w:i w:val="0"/>
          <w:color w:val="auto"/>
          <w:sz w:val="20"/>
          <w:szCs w:val="20"/>
        </w:rPr>
        <w:t>MCG reconfiguration with sync failure (for NR-NR DC and NE-DC cases);</w:t>
      </w:r>
    </w:p>
    <w:p w14:paraId="7A08F24C" w14:textId="77777777" w:rsidR="004C0212" w:rsidRPr="001B1DD1" w:rsidRDefault="004C0212" w:rsidP="004C0212">
      <w:pPr>
        <w:pStyle w:val="Caption"/>
        <w:numPr>
          <w:ilvl w:val="0"/>
          <w:numId w:val="28"/>
        </w:numPr>
        <w:rPr>
          <w:i w:val="0"/>
          <w:color w:val="auto"/>
          <w:sz w:val="20"/>
          <w:szCs w:val="20"/>
        </w:rPr>
      </w:pPr>
      <w:r w:rsidRPr="001B1DD1">
        <w:rPr>
          <w:i w:val="0"/>
          <w:color w:val="auto"/>
          <w:sz w:val="20"/>
          <w:szCs w:val="20"/>
        </w:rPr>
        <w:t>MN handover failure (for EN-DC and NGEN-DC cases).</w:t>
      </w:r>
    </w:p>
    <w:p w14:paraId="7B427992" w14:textId="54AC8C52" w:rsidR="004C0212" w:rsidRDefault="00B036DF" w:rsidP="004C0212">
      <w:pPr>
        <w:pStyle w:val="Caption"/>
        <w:rPr>
          <w:i w:val="0"/>
          <w:color w:val="auto"/>
          <w:sz w:val="20"/>
          <w:szCs w:val="20"/>
        </w:rPr>
      </w:pPr>
      <w:r>
        <w:rPr>
          <w:i w:val="0"/>
          <w:color w:val="auto"/>
          <w:sz w:val="20"/>
          <w:szCs w:val="20"/>
        </w:rPr>
        <w:t>Note that t</w:t>
      </w:r>
      <w:r w:rsidR="004C0212" w:rsidRPr="001B1DD1">
        <w:rPr>
          <w:i w:val="0"/>
          <w:color w:val="auto"/>
          <w:sz w:val="20"/>
          <w:szCs w:val="20"/>
        </w:rPr>
        <w:t xml:space="preserve">he scope of discussion </w:t>
      </w:r>
      <w:r w:rsidR="007B5AD8" w:rsidRPr="001B1DD1">
        <w:rPr>
          <w:i w:val="0"/>
          <w:color w:val="auto"/>
          <w:sz w:val="20"/>
          <w:szCs w:val="20"/>
        </w:rPr>
        <w:t xml:space="preserve">in the paper </w:t>
      </w:r>
      <w:r w:rsidR="004C0212" w:rsidRPr="001B1DD1">
        <w:rPr>
          <w:i w:val="0"/>
          <w:color w:val="auto"/>
          <w:sz w:val="20"/>
          <w:szCs w:val="20"/>
        </w:rPr>
        <w:t>is restricted to Intra-RAT handover cases only;</w:t>
      </w:r>
      <w:r w:rsidR="004C0212">
        <w:rPr>
          <w:i w:val="0"/>
          <w:color w:val="auto"/>
          <w:sz w:val="20"/>
          <w:szCs w:val="20"/>
        </w:rPr>
        <w:t xml:space="preserve"> for example, for MCG reconfiguration with sync failure, we consider the case of handover from an MN </w:t>
      </w:r>
      <w:proofErr w:type="spellStart"/>
      <w:r w:rsidR="004C0212">
        <w:rPr>
          <w:i w:val="0"/>
          <w:color w:val="auto"/>
          <w:sz w:val="20"/>
          <w:szCs w:val="20"/>
        </w:rPr>
        <w:t>gNB</w:t>
      </w:r>
      <w:proofErr w:type="spellEnd"/>
      <w:r w:rsidR="004C0212">
        <w:rPr>
          <w:i w:val="0"/>
          <w:color w:val="auto"/>
          <w:sz w:val="20"/>
          <w:szCs w:val="20"/>
        </w:rPr>
        <w:t xml:space="preserve"> to MN </w:t>
      </w:r>
      <w:proofErr w:type="spellStart"/>
      <w:r w:rsidR="004C0212">
        <w:rPr>
          <w:i w:val="0"/>
          <w:color w:val="auto"/>
          <w:sz w:val="20"/>
          <w:szCs w:val="20"/>
        </w:rPr>
        <w:t>gNB</w:t>
      </w:r>
      <w:proofErr w:type="spellEnd"/>
      <w:r w:rsidR="004C0212">
        <w:rPr>
          <w:i w:val="0"/>
          <w:color w:val="auto"/>
          <w:sz w:val="20"/>
          <w:szCs w:val="20"/>
        </w:rPr>
        <w:t xml:space="preserve"> only. </w:t>
      </w:r>
    </w:p>
    <w:p w14:paraId="21AF7B5E" w14:textId="7A4DE826" w:rsidR="004D65DF" w:rsidRPr="004D65DF" w:rsidRDefault="00F22D85" w:rsidP="004D65DF">
      <w:pPr>
        <w:rPr>
          <w:rFonts w:eastAsiaTheme="minorHAnsi"/>
          <w:lang w:val="en-US"/>
        </w:rPr>
      </w:pPr>
      <w:r w:rsidRPr="004D65DF">
        <w:lastRenderedPageBreak/>
        <w:t xml:space="preserve">There are the following three possibilities (Cases 1, 2, and </w:t>
      </w:r>
      <w:r w:rsidR="004D65DF">
        <w:t>3 below) in Inter-MN handover according to TS 37.340, Section 10.7 [</w:t>
      </w:r>
      <w:r w:rsidR="00355612">
        <w:t>1</w:t>
      </w:r>
      <w:r w:rsidR="004D65DF">
        <w:t>]</w:t>
      </w:r>
      <w:r w:rsidR="00B811BD">
        <w:t>.</w:t>
      </w:r>
      <w:r w:rsidR="004D65DF">
        <w:t xml:space="preserve"> Target MN decides whether to keep the SN, change the SN, or release the SN without adding an SN. UE knows about target MN’s decision when it receives the RRC</w:t>
      </w:r>
      <w:r w:rsidR="00922FA1">
        <w:t xml:space="preserve"> r</w:t>
      </w:r>
      <w:r w:rsidR="004D65DF">
        <w:t xml:space="preserve">econfiguration message containing the handover command. </w:t>
      </w:r>
    </w:p>
    <w:p w14:paraId="641C8369" w14:textId="77777777" w:rsidR="004D65DF" w:rsidRDefault="004D65DF" w:rsidP="004D65DF">
      <w:r>
        <w:rPr>
          <w:b/>
          <w:bCs/>
        </w:rPr>
        <w:t>Case 1:</w:t>
      </w:r>
      <w:r>
        <w:t xml:space="preserve"> Inter-MN handover with SN kept.</w:t>
      </w:r>
    </w:p>
    <w:p w14:paraId="34EA512D" w14:textId="77777777" w:rsidR="004D65DF" w:rsidRDefault="004D65DF" w:rsidP="004D65DF">
      <w:r>
        <w:rPr>
          <w:b/>
          <w:bCs/>
        </w:rPr>
        <w:t>Case 2:</w:t>
      </w:r>
      <w:r>
        <w:t xml:space="preserve"> Inter-MN handover with SN changed.</w:t>
      </w:r>
    </w:p>
    <w:p w14:paraId="1C38F2C2" w14:textId="77777777" w:rsidR="004D65DF" w:rsidRDefault="004D65DF" w:rsidP="004D65DF">
      <w:r>
        <w:rPr>
          <w:b/>
          <w:bCs/>
        </w:rPr>
        <w:t>Case 3:</w:t>
      </w:r>
      <w:r>
        <w:t xml:space="preserve"> Inter-MN handover with SN released and no SN added.</w:t>
      </w:r>
    </w:p>
    <w:p w14:paraId="1F804A1D" w14:textId="53D8399C" w:rsidR="004835E2" w:rsidRDefault="004835E2" w:rsidP="00CB1079">
      <w:pPr>
        <w:pStyle w:val="Caption"/>
        <w:rPr>
          <w:i w:val="0"/>
          <w:color w:val="auto"/>
          <w:sz w:val="20"/>
          <w:szCs w:val="20"/>
        </w:rPr>
      </w:pPr>
      <w:r>
        <w:rPr>
          <w:i w:val="0"/>
          <w:color w:val="auto"/>
          <w:sz w:val="20"/>
          <w:szCs w:val="20"/>
        </w:rPr>
        <w:t xml:space="preserve">The following proposal indicates that Inter-MN handover failure causes should trigger the Fast MCG Recovery procedure </w:t>
      </w:r>
      <w:r w:rsidR="00505993">
        <w:rPr>
          <w:i w:val="0"/>
          <w:color w:val="auto"/>
          <w:sz w:val="20"/>
          <w:szCs w:val="20"/>
        </w:rPr>
        <w:t>provided</w:t>
      </w:r>
      <w:r>
        <w:rPr>
          <w:i w:val="0"/>
          <w:color w:val="auto"/>
          <w:sz w:val="20"/>
          <w:szCs w:val="20"/>
        </w:rPr>
        <w:t xml:space="preserve"> certain conditions</w:t>
      </w:r>
      <w:r w:rsidR="00505993">
        <w:rPr>
          <w:i w:val="0"/>
          <w:color w:val="auto"/>
          <w:sz w:val="20"/>
          <w:szCs w:val="20"/>
        </w:rPr>
        <w:t xml:space="preserve"> hold</w:t>
      </w:r>
      <w:r>
        <w:rPr>
          <w:i w:val="0"/>
          <w:color w:val="auto"/>
          <w:sz w:val="20"/>
          <w:szCs w:val="20"/>
        </w:rPr>
        <w:t>.</w:t>
      </w:r>
    </w:p>
    <w:p w14:paraId="64907B5A" w14:textId="4AB90066" w:rsidR="009D463A" w:rsidRPr="004C3C03" w:rsidRDefault="009D463A" w:rsidP="009D463A">
      <w:pPr>
        <w:rPr>
          <w:rFonts w:eastAsiaTheme="minorHAnsi"/>
          <w:b/>
          <w:lang w:val="en-US"/>
        </w:rPr>
      </w:pPr>
      <w:r>
        <w:rPr>
          <w:b/>
          <w:bCs/>
          <w:color w:val="0070C0"/>
        </w:rPr>
        <w:t xml:space="preserve">Proposal </w:t>
      </w:r>
      <w:r w:rsidR="00DF726E">
        <w:rPr>
          <w:b/>
          <w:bCs/>
          <w:color w:val="0070C0"/>
        </w:rPr>
        <w:t>1</w:t>
      </w:r>
      <w:r>
        <w:rPr>
          <w:b/>
          <w:bCs/>
          <w:color w:val="0070C0"/>
        </w:rPr>
        <w:t>:</w:t>
      </w:r>
      <w:r>
        <w:t xml:space="preserve"> </w:t>
      </w:r>
      <w:r w:rsidRPr="004C3C03">
        <w:rPr>
          <w:b/>
        </w:rPr>
        <w:t>The following Inter-MN handover failure causes should trigger the Fast MCG Recovery procedure:</w:t>
      </w:r>
    </w:p>
    <w:p w14:paraId="15D9265B" w14:textId="71B5141A" w:rsidR="009D463A" w:rsidRPr="004C3C03" w:rsidRDefault="009D463A" w:rsidP="009D463A">
      <w:pPr>
        <w:pStyle w:val="ListParagraph"/>
        <w:numPr>
          <w:ilvl w:val="0"/>
          <w:numId w:val="29"/>
        </w:numPr>
        <w:spacing w:after="160" w:line="252" w:lineRule="auto"/>
        <w:rPr>
          <w:rFonts w:eastAsia="Times New Roman"/>
          <w:b/>
          <w:bCs/>
          <w:i/>
          <w:iCs/>
          <w:color w:val="7030A0"/>
        </w:rPr>
      </w:pPr>
      <w:r w:rsidRPr="004C3C03">
        <w:rPr>
          <w:rFonts w:eastAsia="Times New Roman"/>
          <w:b/>
        </w:rPr>
        <w:t>MCG reconfiguration with sync failure</w:t>
      </w:r>
      <w:r w:rsidR="00DF726E" w:rsidRPr="004C3C03">
        <w:rPr>
          <w:rFonts w:eastAsia="Times New Roman"/>
          <w:b/>
        </w:rPr>
        <w:t xml:space="preserve"> (for NR-NR DC and NE-DC cases)</w:t>
      </w:r>
      <w:r w:rsidRPr="004C3C03">
        <w:rPr>
          <w:rFonts w:eastAsia="Times New Roman"/>
          <w:b/>
        </w:rPr>
        <w:t>;</w:t>
      </w:r>
    </w:p>
    <w:p w14:paraId="46A131CC" w14:textId="5344B3CE" w:rsidR="009D463A" w:rsidRPr="004C3C03" w:rsidRDefault="009D463A" w:rsidP="009D463A">
      <w:pPr>
        <w:pStyle w:val="ListParagraph"/>
        <w:numPr>
          <w:ilvl w:val="0"/>
          <w:numId w:val="29"/>
        </w:numPr>
        <w:spacing w:after="160" w:line="252" w:lineRule="auto"/>
        <w:rPr>
          <w:rFonts w:eastAsia="Times New Roman"/>
          <w:b/>
          <w:bCs/>
          <w:i/>
          <w:iCs/>
          <w:color w:val="7030A0"/>
        </w:rPr>
      </w:pPr>
      <w:r w:rsidRPr="004C3C03">
        <w:rPr>
          <w:rFonts w:eastAsia="Times New Roman"/>
          <w:b/>
        </w:rPr>
        <w:t xml:space="preserve">MN handover failure </w:t>
      </w:r>
      <w:r w:rsidR="00DF726E" w:rsidRPr="004C3C03">
        <w:rPr>
          <w:rFonts w:eastAsia="Times New Roman"/>
          <w:b/>
        </w:rPr>
        <w:t>(for EN-DC and N</w:t>
      </w:r>
      <w:r w:rsidR="004B5FC5">
        <w:rPr>
          <w:rFonts w:eastAsia="Times New Roman"/>
          <w:b/>
        </w:rPr>
        <w:t>G</w:t>
      </w:r>
      <w:r w:rsidR="00DF726E" w:rsidRPr="004C3C03">
        <w:rPr>
          <w:rFonts w:eastAsia="Times New Roman"/>
          <w:b/>
        </w:rPr>
        <w:t>EN-DC cases);</w:t>
      </w:r>
    </w:p>
    <w:p w14:paraId="3100368D" w14:textId="77777777" w:rsidR="009D463A" w:rsidRPr="004C3C03" w:rsidRDefault="009D463A" w:rsidP="009D463A">
      <w:pPr>
        <w:rPr>
          <w:rFonts w:eastAsiaTheme="minorHAnsi"/>
          <w:b/>
        </w:rPr>
      </w:pPr>
      <w:r w:rsidRPr="004C3C03">
        <w:rPr>
          <w:b/>
        </w:rPr>
        <w:t>if the following conditions hold:</w:t>
      </w:r>
    </w:p>
    <w:p w14:paraId="70399816" w14:textId="0EEB40CC" w:rsidR="009D463A" w:rsidRPr="004C3C03" w:rsidRDefault="00877BA5" w:rsidP="009D463A">
      <w:pPr>
        <w:pStyle w:val="ListParagraph"/>
        <w:numPr>
          <w:ilvl w:val="0"/>
          <w:numId w:val="29"/>
        </w:numPr>
        <w:spacing w:after="160" w:line="252" w:lineRule="auto"/>
        <w:rPr>
          <w:rFonts w:eastAsia="Times New Roman"/>
          <w:b/>
          <w:bCs/>
          <w:i/>
          <w:iCs/>
          <w:color w:val="7030A0"/>
        </w:rPr>
      </w:pPr>
      <w:r>
        <w:rPr>
          <w:rFonts w:eastAsia="Times New Roman"/>
          <w:b/>
        </w:rPr>
        <w:t>I</w:t>
      </w:r>
      <w:r w:rsidR="003660C9" w:rsidRPr="00326FE1">
        <w:rPr>
          <w:rFonts w:eastAsia="Times New Roman"/>
          <w:b/>
        </w:rPr>
        <w:t>nter-MN handover with SN kept / changed</w:t>
      </w:r>
      <w:r w:rsidR="006E3125">
        <w:rPr>
          <w:rFonts w:eastAsia="Times New Roman"/>
          <w:b/>
        </w:rPr>
        <w:t xml:space="preserve"> with </w:t>
      </w:r>
      <w:r w:rsidR="009D463A" w:rsidRPr="004C3C03">
        <w:rPr>
          <w:rFonts w:eastAsia="Times New Roman"/>
          <w:b/>
        </w:rPr>
        <w:t xml:space="preserve">SN </w:t>
      </w:r>
      <w:r w:rsidR="00502BC8">
        <w:rPr>
          <w:rFonts w:eastAsia="Times New Roman"/>
          <w:b/>
        </w:rPr>
        <w:t>available</w:t>
      </w:r>
      <w:r w:rsidR="009D463A" w:rsidRPr="004C3C03">
        <w:rPr>
          <w:rFonts w:eastAsia="Times New Roman"/>
          <w:b/>
        </w:rPr>
        <w:t xml:space="preserve"> upon handover;</w:t>
      </w:r>
    </w:p>
    <w:p w14:paraId="6C8C6E2A" w14:textId="31DF36B0" w:rsidR="009D463A" w:rsidRPr="004C3C03" w:rsidRDefault="009D463A" w:rsidP="009D463A">
      <w:pPr>
        <w:pStyle w:val="ListParagraph"/>
        <w:numPr>
          <w:ilvl w:val="0"/>
          <w:numId w:val="29"/>
        </w:numPr>
        <w:spacing w:after="160" w:line="252" w:lineRule="auto"/>
        <w:rPr>
          <w:rFonts w:eastAsia="Times New Roman"/>
          <w:b/>
          <w:bCs/>
          <w:i/>
          <w:iCs/>
          <w:color w:val="7030A0"/>
        </w:rPr>
      </w:pPr>
      <w:r w:rsidRPr="004C3C03">
        <w:rPr>
          <w:rFonts w:eastAsia="Times New Roman"/>
          <w:b/>
        </w:rPr>
        <w:t>UE succeeds in completing the RACH procedure with the (target) SN</w:t>
      </w:r>
      <w:r w:rsidR="00AA649B">
        <w:rPr>
          <w:rFonts w:eastAsia="Times New Roman"/>
          <w:b/>
        </w:rPr>
        <w:t>.</w:t>
      </w:r>
      <w:r w:rsidRPr="004C3C03">
        <w:rPr>
          <w:rFonts w:eastAsia="Times New Roman"/>
          <w:b/>
        </w:rPr>
        <w:t xml:space="preserve"> </w:t>
      </w:r>
    </w:p>
    <w:p w14:paraId="287970D4" w14:textId="77777777" w:rsidR="00BD696A" w:rsidRDefault="00A84E27" w:rsidP="009D463A">
      <w:r>
        <w:t>In the procedure of proposal 1, the UE behaviour is required to further specified:</w:t>
      </w:r>
    </w:p>
    <w:p w14:paraId="609F7C35" w14:textId="5EEB3A9C" w:rsidR="00BD696A" w:rsidRPr="004C3C03" w:rsidRDefault="00BD696A" w:rsidP="00BD696A">
      <w:pPr>
        <w:rPr>
          <w:rFonts w:eastAsiaTheme="minorHAnsi"/>
          <w:b/>
          <w:lang w:val="en-US"/>
        </w:rPr>
      </w:pPr>
      <w:r>
        <w:rPr>
          <w:b/>
          <w:bCs/>
          <w:color w:val="0070C0"/>
        </w:rPr>
        <w:t>Proposal 2:</w:t>
      </w:r>
      <w:r>
        <w:t xml:space="preserve"> </w:t>
      </w:r>
      <w:r w:rsidR="00EC3049">
        <w:rPr>
          <w:b/>
        </w:rPr>
        <w:t xml:space="preserve">Specify the following UE behaviour for </w:t>
      </w:r>
      <w:r w:rsidR="00EF0387">
        <w:rPr>
          <w:b/>
        </w:rPr>
        <w:t>i</w:t>
      </w:r>
      <w:r w:rsidRPr="004C3C03">
        <w:rPr>
          <w:b/>
        </w:rPr>
        <w:t>nter-MN handover failure trigger</w:t>
      </w:r>
      <w:r w:rsidR="00FD52B2">
        <w:rPr>
          <w:b/>
        </w:rPr>
        <w:t>ed</w:t>
      </w:r>
      <w:r w:rsidRPr="004C3C03">
        <w:rPr>
          <w:b/>
        </w:rPr>
        <w:t xml:space="preserve"> </w:t>
      </w:r>
      <w:r w:rsidR="00EC3049">
        <w:rPr>
          <w:b/>
        </w:rPr>
        <w:t>f</w:t>
      </w:r>
      <w:r w:rsidRPr="004C3C03">
        <w:rPr>
          <w:b/>
        </w:rPr>
        <w:t>ast MCG Recovery procedure</w:t>
      </w:r>
      <w:r w:rsidR="00FD52B2">
        <w:rPr>
          <w:b/>
        </w:rPr>
        <w:t>:</w:t>
      </w:r>
    </w:p>
    <w:p w14:paraId="0F114D90" w14:textId="77777777" w:rsidR="00BF738F" w:rsidRDefault="00BF738F" w:rsidP="00BF738F">
      <w:pPr>
        <w:pStyle w:val="ListParagraph"/>
        <w:numPr>
          <w:ilvl w:val="0"/>
          <w:numId w:val="31"/>
        </w:numPr>
        <w:rPr>
          <w:rFonts w:eastAsia="Times New Roman"/>
          <w:b/>
        </w:rPr>
      </w:pPr>
      <w:r w:rsidRPr="00BF738F">
        <w:rPr>
          <w:rFonts w:eastAsia="Times New Roman"/>
          <w:b/>
        </w:rPr>
        <w:t xml:space="preserve">After completion of RACH procedure with (target) SN, UE performs integrity protection and ciphering of MCG Failure Information message using the new SN key and transmits it to (target) SN over split SRB1. </w:t>
      </w:r>
    </w:p>
    <w:p w14:paraId="5A0A6D71" w14:textId="3FAC29B8" w:rsidR="00A84E27" w:rsidRDefault="00BF738F" w:rsidP="009D463A">
      <w:pPr>
        <w:pStyle w:val="ListParagraph"/>
        <w:numPr>
          <w:ilvl w:val="0"/>
          <w:numId w:val="31"/>
        </w:numPr>
        <w:rPr>
          <w:rFonts w:eastAsia="Times New Roman"/>
          <w:b/>
        </w:rPr>
      </w:pPr>
      <w:r w:rsidRPr="00BF738F">
        <w:rPr>
          <w:rFonts w:eastAsia="Times New Roman"/>
          <w:b/>
        </w:rPr>
        <w:t>UE should flush the SCG MAC UL HARQ buffers (which may contain PDUs encrypted using the previous key) before sending the MCG Failure Information message.</w:t>
      </w:r>
    </w:p>
    <w:p w14:paraId="20FFE602" w14:textId="77777777" w:rsidR="00786162" w:rsidRDefault="009D463A" w:rsidP="00EC3049">
      <w:pPr>
        <w:rPr>
          <w:rFonts w:eastAsia="Times New Roman"/>
        </w:rPr>
      </w:pPr>
      <w:r w:rsidRPr="006D6D51">
        <w:t>For Inter-MN handover Case 3, Fast MCG Recovery procedure cannot be performed in case of handover failure and UE must perform the RRC re-establishment procedure.</w:t>
      </w:r>
      <w:bookmarkEnd w:id="2"/>
      <w:bookmarkEnd w:id="3"/>
      <w:r w:rsidR="00484083" w:rsidRPr="006D6D51">
        <w:rPr>
          <w:rFonts w:eastAsia="Times New Roman"/>
        </w:rPr>
        <w:t xml:space="preserve">  </w:t>
      </w:r>
      <w:r w:rsidR="00484083" w:rsidRPr="006D6D51">
        <w:rPr>
          <w:lang w:eastAsia="ja-JP"/>
        </w:rPr>
        <w:t xml:space="preserve"> </w:t>
      </w:r>
      <w:r w:rsidR="00484083" w:rsidRPr="006D6D51">
        <w:rPr>
          <w:rFonts w:eastAsia="Times New Roman"/>
        </w:rPr>
        <w:t xml:space="preserve">   </w:t>
      </w:r>
    </w:p>
    <w:p w14:paraId="0B2A386D" w14:textId="00AF3CFD" w:rsidR="00786162" w:rsidRPr="00235329" w:rsidRDefault="00786162" w:rsidP="00EC3049">
      <w:pPr>
        <w:rPr>
          <w:b/>
        </w:rPr>
      </w:pPr>
      <w:r>
        <w:rPr>
          <w:b/>
          <w:bCs/>
          <w:color w:val="0070C0"/>
        </w:rPr>
        <w:t>Proposal 3:</w:t>
      </w:r>
      <w:r>
        <w:t xml:space="preserve"> </w:t>
      </w:r>
      <w:r w:rsidR="00134F2F" w:rsidRPr="00235329">
        <w:rPr>
          <w:b/>
        </w:rPr>
        <w:t>Fo</w:t>
      </w:r>
      <w:r w:rsidR="00134F2F" w:rsidRPr="0068670E">
        <w:rPr>
          <w:rFonts w:eastAsia="Times New Roman"/>
          <w:b/>
        </w:rPr>
        <w:t xml:space="preserve">r </w:t>
      </w:r>
      <w:r w:rsidR="00B17BE1">
        <w:rPr>
          <w:rFonts w:eastAsia="Times New Roman"/>
          <w:b/>
        </w:rPr>
        <w:t>i</w:t>
      </w:r>
      <w:r w:rsidR="00B17BE1" w:rsidRPr="00326FE1">
        <w:rPr>
          <w:rFonts w:eastAsia="Times New Roman"/>
          <w:b/>
        </w:rPr>
        <w:t xml:space="preserve">nter-MN handover with </w:t>
      </w:r>
      <w:r w:rsidR="00B17BE1" w:rsidRPr="0068670E">
        <w:rPr>
          <w:rFonts w:eastAsia="Times New Roman"/>
          <w:b/>
        </w:rPr>
        <w:t>SN released and no SN added</w:t>
      </w:r>
      <w:r w:rsidR="00134F2F" w:rsidRPr="0068670E">
        <w:rPr>
          <w:rFonts w:eastAsia="Times New Roman"/>
          <w:b/>
        </w:rPr>
        <w:t xml:space="preserve">, </w:t>
      </w:r>
      <w:r w:rsidR="00B3646D">
        <w:rPr>
          <w:rFonts w:eastAsia="Times New Roman"/>
          <w:b/>
        </w:rPr>
        <w:t>the</w:t>
      </w:r>
      <w:r w:rsidR="00134F2F" w:rsidRPr="0068670E">
        <w:rPr>
          <w:rFonts w:eastAsia="Times New Roman"/>
          <w:b/>
        </w:rPr>
        <w:t xml:space="preserve"> UE</w:t>
      </w:r>
      <w:r w:rsidR="00B3646D">
        <w:rPr>
          <w:rFonts w:eastAsia="Times New Roman"/>
          <w:b/>
        </w:rPr>
        <w:t xml:space="preserve"> </w:t>
      </w:r>
      <w:r w:rsidR="00134F2F" w:rsidRPr="0068670E">
        <w:rPr>
          <w:rFonts w:eastAsia="Times New Roman"/>
          <w:b/>
        </w:rPr>
        <w:t>perform</w:t>
      </w:r>
      <w:r w:rsidR="00B3646D">
        <w:rPr>
          <w:rFonts w:eastAsia="Times New Roman"/>
          <w:b/>
        </w:rPr>
        <w:t>s</w:t>
      </w:r>
      <w:r w:rsidR="00134F2F" w:rsidRPr="0068670E">
        <w:rPr>
          <w:rFonts w:eastAsia="Times New Roman"/>
          <w:b/>
        </w:rPr>
        <w:t xml:space="preserve"> RRC re-establishment procedure.</w:t>
      </w:r>
    </w:p>
    <w:p w14:paraId="02D43F2D" w14:textId="77777777" w:rsidR="00134F2F" w:rsidRPr="00786162" w:rsidRDefault="00134F2F" w:rsidP="00EC3049">
      <w:pPr>
        <w:rPr>
          <w:rFonts w:eastAsiaTheme="minorHAnsi"/>
          <w:b/>
          <w:lang w:val="en-US"/>
        </w:rPr>
      </w:pPr>
    </w:p>
    <w:p w14:paraId="33C13FB9" w14:textId="55E03C65" w:rsidR="00484083" w:rsidRDefault="00484083" w:rsidP="00484083">
      <w:pPr>
        <w:pStyle w:val="Heading1"/>
      </w:pPr>
      <w:r>
        <w:t xml:space="preserve">3 </w:t>
      </w:r>
      <w:r w:rsidR="008E2333">
        <w:t>Regarding</w:t>
      </w:r>
      <w:r>
        <w:t xml:space="preserve"> using SRB3 for Fast MCG Recovery</w:t>
      </w:r>
    </w:p>
    <w:p w14:paraId="4A4205FD" w14:textId="46424BFB" w:rsidR="00E82FE2" w:rsidRPr="0071414D" w:rsidRDefault="00DC2047" w:rsidP="00E82FE2">
      <w:r w:rsidRPr="00DC2047">
        <w:t xml:space="preserve">In RAN2#105b, </w:t>
      </w:r>
      <w:r w:rsidR="00E9791A" w:rsidRPr="0084602F">
        <w:rPr>
          <w:rFonts w:eastAsia="Calibri"/>
          <w:lang w:val="en-US" w:eastAsia="ja-JP"/>
        </w:rPr>
        <w:t xml:space="preserve">SCG leg of the split SRB1 </w:t>
      </w:r>
      <w:r w:rsidR="006F12E4">
        <w:t>was agreed to indicate MCG failure information.</w:t>
      </w:r>
      <w:r w:rsidR="000B5F48">
        <w:t xml:space="preserve"> However, it is still FFS whether SRB3 can be used. We prefer not to use SRB3 because it will introduce </w:t>
      </w:r>
      <w:r w:rsidR="000B5F48" w:rsidRPr="000B5F48">
        <w:t xml:space="preserve">additional complexity in forwarding messages of the procedure, e.g., MCG failure notification and handover messages, in new containers over the </w:t>
      </w:r>
      <w:proofErr w:type="spellStart"/>
      <w:r w:rsidR="000B5F48" w:rsidRPr="000B5F48">
        <w:t>Xn</w:t>
      </w:r>
      <w:proofErr w:type="spellEnd"/>
      <w:r w:rsidR="000B5F48" w:rsidRPr="000B5F48">
        <w:t>/X2 interface between the MN and SN</w:t>
      </w:r>
      <w:r w:rsidR="00DD34DD">
        <w:t xml:space="preserve">. </w:t>
      </w:r>
      <w:r w:rsidR="00E82FE2" w:rsidRPr="0071414D">
        <w:t>Moreover, SRB3 is not present in the NE-DC case, which goes against the aim of having a unified solution.</w:t>
      </w:r>
    </w:p>
    <w:p w14:paraId="36B7CE71" w14:textId="77777777" w:rsidR="004C68CD" w:rsidRDefault="007A37BC" w:rsidP="007A37BC">
      <w:pPr>
        <w:rPr>
          <w:rFonts w:eastAsia="Times New Roman"/>
          <w:b/>
        </w:rPr>
      </w:pPr>
      <w:r>
        <w:rPr>
          <w:rFonts w:eastAsia="Times New Roman"/>
          <w:b/>
          <w:color w:val="0070C0"/>
        </w:rPr>
        <w:t>Observation</w:t>
      </w:r>
      <w:r w:rsidRPr="00B4194B">
        <w:rPr>
          <w:rFonts w:eastAsia="Times New Roman"/>
          <w:b/>
          <w:color w:val="0070C0"/>
        </w:rPr>
        <w:t xml:space="preserve"> </w:t>
      </w:r>
      <w:r>
        <w:rPr>
          <w:rFonts w:eastAsia="Times New Roman"/>
          <w:b/>
          <w:color w:val="0070C0"/>
        </w:rPr>
        <w:t>1:</w:t>
      </w:r>
      <w:r>
        <w:rPr>
          <w:rFonts w:eastAsia="Times New Roman"/>
        </w:rPr>
        <w:t xml:space="preserve"> </w:t>
      </w:r>
      <w:r w:rsidR="00715D6A" w:rsidRPr="002D1A5D">
        <w:rPr>
          <w:rFonts w:eastAsia="Times New Roman"/>
          <w:b/>
        </w:rPr>
        <w:t xml:space="preserve">If </w:t>
      </w:r>
      <w:r w:rsidRPr="00433AA8">
        <w:rPr>
          <w:rFonts w:eastAsia="Times New Roman"/>
          <w:b/>
        </w:rPr>
        <w:t xml:space="preserve">SRB3 </w:t>
      </w:r>
      <w:r w:rsidR="00715D6A">
        <w:rPr>
          <w:rFonts w:eastAsia="Times New Roman"/>
          <w:b/>
        </w:rPr>
        <w:t>is introduced to indicate MCG failure information, it will bring</w:t>
      </w:r>
      <w:r w:rsidRPr="00433AA8">
        <w:rPr>
          <w:rFonts w:eastAsia="Times New Roman"/>
          <w:b/>
        </w:rPr>
        <w:t xml:space="preserve"> additional complexity involved in forwarding </w:t>
      </w:r>
      <w:r>
        <w:rPr>
          <w:rFonts w:eastAsia="Times New Roman"/>
          <w:b/>
        </w:rPr>
        <w:t xml:space="preserve">messages of the procedure, e.g., </w:t>
      </w:r>
      <w:r w:rsidRPr="00433AA8">
        <w:rPr>
          <w:rFonts w:eastAsia="Times New Roman"/>
          <w:b/>
        </w:rPr>
        <w:t>MCG failure notification and handover messages</w:t>
      </w:r>
      <w:r>
        <w:rPr>
          <w:rFonts w:eastAsia="Times New Roman"/>
          <w:b/>
        </w:rPr>
        <w:t>,</w:t>
      </w:r>
      <w:r w:rsidRPr="00433AA8">
        <w:rPr>
          <w:rFonts w:eastAsia="Times New Roman"/>
          <w:b/>
        </w:rPr>
        <w:t xml:space="preserve"> in new containers over the </w:t>
      </w:r>
      <w:proofErr w:type="spellStart"/>
      <w:r w:rsidRPr="00433AA8">
        <w:rPr>
          <w:rFonts w:eastAsia="Times New Roman"/>
          <w:b/>
        </w:rPr>
        <w:t>Xn</w:t>
      </w:r>
      <w:proofErr w:type="spellEnd"/>
      <w:r w:rsidRPr="00433AA8">
        <w:rPr>
          <w:rFonts w:eastAsia="Times New Roman"/>
          <w:b/>
        </w:rPr>
        <w:t>/X2 interface between the MN and SN.</w:t>
      </w:r>
      <w:r>
        <w:rPr>
          <w:rFonts w:eastAsia="Times New Roman"/>
          <w:b/>
        </w:rPr>
        <w:t xml:space="preserve"> </w:t>
      </w:r>
    </w:p>
    <w:p w14:paraId="2E1F06CD" w14:textId="5CEA7838" w:rsidR="00DC2047" w:rsidRPr="006B7CD2" w:rsidRDefault="004C68CD" w:rsidP="00484083">
      <w:pPr>
        <w:rPr>
          <w:rFonts w:eastAsia="Times New Roman"/>
          <w:b/>
        </w:rPr>
      </w:pPr>
      <w:r>
        <w:rPr>
          <w:rFonts w:eastAsia="Times New Roman"/>
          <w:b/>
          <w:color w:val="0070C0"/>
        </w:rPr>
        <w:t>Observation</w:t>
      </w:r>
      <w:r w:rsidRPr="00B4194B">
        <w:rPr>
          <w:rFonts w:eastAsia="Times New Roman"/>
          <w:b/>
          <w:color w:val="0070C0"/>
        </w:rPr>
        <w:t xml:space="preserve"> </w:t>
      </w:r>
      <w:r>
        <w:rPr>
          <w:rFonts w:eastAsia="Times New Roman"/>
          <w:b/>
          <w:color w:val="0070C0"/>
        </w:rPr>
        <w:t>2:</w:t>
      </w:r>
      <w:r>
        <w:rPr>
          <w:rFonts w:eastAsia="Times New Roman"/>
        </w:rPr>
        <w:t xml:space="preserve"> </w:t>
      </w:r>
      <w:r w:rsidR="005717F9" w:rsidRPr="002D1A5D">
        <w:rPr>
          <w:rFonts w:eastAsia="Times New Roman"/>
          <w:b/>
        </w:rPr>
        <w:t xml:space="preserve">If </w:t>
      </w:r>
      <w:r w:rsidR="005717F9" w:rsidRPr="00433AA8">
        <w:rPr>
          <w:rFonts w:eastAsia="Times New Roman"/>
          <w:b/>
        </w:rPr>
        <w:t xml:space="preserve">SRB3 </w:t>
      </w:r>
      <w:r w:rsidR="005717F9">
        <w:rPr>
          <w:rFonts w:eastAsia="Times New Roman"/>
          <w:b/>
        </w:rPr>
        <w:t>is introduced to indicate MCG failure information,</w:t>
      </w:r>
      <w:r w:rsidR="005717F9" w:rsidRPr="005717F9">
        <w:rPr>
          <w:rFonts w:eastAsia="Times New Roman"/>
          <w:b/>
        </w:rPr>
        <w:t xml:space="preserve"> </w:t>
      </w:r>
      <w:r w:rsidR="005717F9">
        <w:rPr>
          <w:rFonts w:eastAsia="Times New Roman"/>
          <w:b/>
        </w:rPr>
        <w:t xml:space="preserve">it will go against the aim of having a unified solution for all MR-DC because </w:t>
      </w:r>
      <w:r w:rsidR="007A37BC">
        <w:rPr>
          <w:rFonts w:eastAsia="Times New Roman"/>
          <w:b/>
        </w:rPr>
        <w:t>SRB3 is not present in the NE-DC case.</w:t>
      </w:r>
    </w:p>
    <w:p w14:paraId="1A28F45D" w14:textId="4E4833E5" w:rsidR="00786E54" w:rsidRDefault="00484083" w:rsidP="00484083">
      <w:pPr>
        <w:rPr>
          <w:rFonts w:eastAsia="Times New Roman"/>
          <w:b/>
        </w:rPr>
      </w:pPr>
      <w:r w:rsidRPr="00B4194B">
        <w:rPr>
          <w:rFonts w:eastAsia="Times New Roman"/>
          <w:b/>
          <w:color w:val="0070C0"/>
        </w:rPr>
        <w:t>Proposal</w:t>
      </w:r>
      <w:r w:rsidR="00B4194B" w:rsidRPr="00B4194B">
        <w:rPr>
          <w:rFonts w:eastAsia="Times New Roman"/>
          <w:b/>
          <w:color w:val="0070C0"/>
        </w:rPr>
        <w:t xml:space="preserve"> </w:t>
      </w:r>
      <w:r w:rsidR="00C80718">
        <w:rPr>
          <w:rFonts w:eastAsia="Times New Roman"/>
          <w:b/>
          <w:color w:val="0070C0"/>
        </w:rPr>
        <w:t>4</w:t>
      </w:r>
      <w:r w:rsidR="00B4194B">
        <w:rPr>
          <w:rFonts w:eastAsia="Times New Roman"/>
          <w:b/>
          <w:color w:val="0070C0"/>
        </w:rPr>
        <w:t>:</w:t>
      </w:r>
      <w:r>
        <w:rPr>
          <w:rFonts w:eastAsia="Times New Roman"/>
        </w:rPr>
        <w:t xml:space="preserve"> </w:t>
      </w:r>
      <w:r w:rsidRPr="00433AA8">
        <w:rPr>
          <w:rFonts w:eastAsia="Times New Roman"/>
          <w:b/>
        </w:rPr>
        <w:t xml:space="preserve">SRB3 </w:t>
      </w:r>
      <w:r w:rsidR="00350961">
        <w:rPr>
          <w:rFonts w:eastAsia="Times New Roman"/>
          <w:b/>
        </w:rPr>
        <w:t>is</w:t>
      </w:r>
      <w:r w:rsidRPr="00433AA8">
        <w:rPr>
          <w:rFonts w:eastAsia="Times New Roman"/>
          <w:b/>
        </w:rPr>
        <w:t xml:space="preserve"> </w:t>
      </w:r>
      <w:r w:rsidR="00486051">
        <w:rPr>
          <w:rFonts w:eastAsia="Times New Roman"/>
          <w:b/>
        </w:rPr>
        <w:t xml:space="preserve">not </w:t>
      </w:r>
      <w:r w:rsidRPr="00433AA8">
        <w:rPr>
          <w:rFonts w:eastAsia="Times New Roman"/>
          <w:b/>
        </w:rPr>
        <w:t xml:space="preserve">used </w:t>
      </w:r>
      <w:r w:rsidR="0003252E" w:rsidRPr="008169F2">
        <w:rPr>
          <w:rFonts w:eastAsia="Times New Roman"/>
          <w:b/>
        </w:rPr>
        <w:t>for MCG fast recovery</w:t>
      </w:r>
      <w:r>
        <w:rPr>
          <w:rFonts w:eastAsia="Times New Roman"/>
          <w:b/>
        </w:rPr>
        <w:t>.</w:t>
      </w:r>
    </w:p>
    <w:p w14:paraId="305D041D" w14:textId="428EE65D" w:rsidR="00D1712D" w:rsidRDefault="006848B1" w:rsidP="00484083">
      <w:pPr>
        <w:pStyle w:val="Heading1"/>
      </w:pPr>
      <w:r>
        <w:lastRenderedPageBreak/>
        <w:t>4</w:t>
      </w:r>
      <w:r w:rsidR="00484083">
        <w:t xml:space="preserve"> Timer for the Fast MCG Recovery procedure</w:t>
      </w:r>
    </w:p>
    <w:p w14:paraId="11562BD8" w14:textId="77777777" w:rsidR="00A028F2" w:rsidRDefault="00786E54" w:rsidP="00D1712D">
      <w:pPr>
        <w:rPr>
          <w:rFonts w:eastAsia="Times New Roman"/>
        </w:rPr>
      </w:pPr>
      <w:r>
        <w:rPr>
          <w:rFonts w:eastAsia="Times New Roman"/>
        </w:rPr>
        <w:t xml:space="preserve">If a timer is not defined for the </w:t>
      </w:r>
      <w:r w:rsidR="00813C16">
        <w:rPr>
          <w:rFonts w:eastAsia="Times New Roman"/>
        </w:rPr>
        <w:t xml:space="preserve">fast MCG recovery </w:t>
      </w:r>
      <w:r>
        <w:rPr>
          <w:rFonts w:eastAsia="Times New Roman"/>
        </w:rPr>
        <w:t xml:space="preserve">procedure, the UE can potentially have a control plane connection to the network only through the SN for an indefinite </w:t>
      </w:r>
      <w:proofErr w:type="gramStart"/>
      <w:r>
        <w:rPr>
          <w:rFonts w:eastAsia="Times New Roman"/>
        </w:rPr>
        <w:t>period of time</w:t>
      </w:r>
      <w:proofErr w:type="gramEnd"/>
      <w:r>
        <w:rPr>
          <w:rFonts w:eastAsia="Times New Roman"/>
        </w:rPr>
        <w:t xml:space="preserve"> that can have other undesirable consequences.   </w:t>
      </w:r>
    </w:p>
    <w:p w14:paraId="1EA9AD06" w14:textId="77777777" w:rsidR="00F975CC" w:rsidRPr="00F975CC" w:rsidRDefault="00A028F2" w:rsidP="00F975CC">
      <w:pPr>
        <w:rPr>
          <w:rFonts w:eastAsia="Times New Roman"/>
          <w:b/>
        </w:rPr>
      </w:pPr>
      <w:r>
        <w:rPr>
          <w:rFonts w:eastAsia="Times New Roman"/>
          <w:b/>
          <w:color w:val="0070C0"/>
        </w:rPr>
        <w:t>Observation</w:t>
      </w:r>
      <w:r w:rsidRPr="00B4194B">
        <w:rPr>
          <w:rFonts w:eastAsia="Times New Roman"/>
          <w:b/>
          <w:color w:val="0070C0"/>
        </w:rPr>
        <w:t xml:space="preserve"> </w:t>
      </w:r>
      <w:r>
        <w:rPr>
          <w:rFonts w:eastAsia="Times New Roman"/>
          <w:b/>
          <w:color w:val="0070C0"/>
        </w:rPr>
        <w:t>3:</w:t>
      </w:r>
      <w:r>
        <w:rPr>
          <w:rFonts w:eastAsia="Times New Roman"/>
        </w:rPr>
        <w:t xml:space="preserve"> </w:t>
      </w:r>
      <w:r w:rsidR="00F975CC" w:rsidRPr="00F975CC">
        <w:rPr>
          <w:rFonts w:eastAsia="Times New Roman"/>
          <w:b/>
        </w:rPr>
        <w:t xml:space="preserve">If a timer is not defined for the fast MCG recovery procedure, the UE can potentially have a control plane connection to the network only through the SN for an indefinite </w:t>
      </w:r>
      <w:proofErr w:type="gramStart"/>
      <w:r w:rsidR="00F975CC" w:rsidRPr="00F975CC">
        <w:rPr>
          <w:rFonts w:eastAsia="Times New Roman"/>
          <w:b/>
        </w:rPr>
        <w:t>period of time</w:t>
      </w:r>
      <w:proofErr w:type="gramEnd"/>
      <w:r w:rsidR="00F975CC" w:rsidRPr="00F975CC">
        <w:rPr>
          <w:rFonts w:eastAsia="Times New Roman"/>
          <w:b/>
        </w:rPr>
        <w:t xml:space="preserve"> that can have other undesirable consequences.   </w:t>
      </w:r>
    </w:p>
    <w:p w14:paraId="7DF0BAED" w14:textId="7C07550A" w:rsidR="00786E54" w:rsidRPr="00786E54" w:rsidRDefault="00A367B0" w:rsidP="00D1712D">
      <w:pPr>
        <w:rPr>
          <w:rFonts w:eastAsia="Times New Roman"/>
        </w:rPr>
      </w:pPr>
      <w:r>
        <w:rPr>
          <w:rFonts w:eastAsia="Times New Roman"/>
        </w:rPr>
        <w:t>Thus, we propose to introduce a timer to track the network response after UE triggers the fast MCG recovery procedure:</w:t>
      </w:r>
    </w:p>
    <w:p w14:paraId="37081608" w14:textId="55586F05" w:rsidR="00F6501A" w:rsidRDefault="00D1712D" w:rsidP="00D1712D">
      <w:pPr>
        <w:rPr>
          <w:b/>
          <w:color w:val="000000" w:themeColor="text1"/>
        </w:rPr>
      </w:pPr>
      <w:r w:rsidRPr="00704EBA">
        <w:rPr>
          <w:b/>
          <w:color w:val="0070C0"/>
        </w:rPr>
        <w:t>Proposal</w:t>
      </w:r>
      <w:r w:rsidR="00B4194B">
        <w:rPr>
          <w:b/>
          <w:i/>
          <w:color w:val="0070C0"/>
        </w:rPr>
        <w:t xml:space="preserve"> </w:t>
      </w:r>
      <w:r w:rsidR="0005741A">
        <w:rPr>
          <w:b/>
          <w:color w:val="0070C0"/>
        </w:rPr>
        <w:t>5</w:t>
      </w:r>
      <w:r w:rsidR="00B4194B">
        <w:rPr>
          <w:b/>
          <w:color w:val="0070C0"/>
        </w:rPr>
        <w:t>:</w:t>
      </w:r>
      <w:r w:rsidRPr="00704EBA">
        <w:rPr>
          <w:rFonts w:eastAsia="Times New Roman"/>
        </w:rPr>
        <w:t xml:space="preserve"> </w:t>
      </w:r>
      <w:r w:rsidR="005D113A">
        <w:rPr>
          <w:rFonts w:eastAsia="Times New Roman"/>
          <w:b/>
        </w:rPr>
        <w:t>I</w:t>
      </w:r>
      <w:r>
        <w:rPr>
          <w:rFonts w:eastAsia="Times New Roman"/>
          <w:b/>
        </w:rPr>
        <w:t xml:space="preserve">ntroduce a timer </w:t>
      </w:r>
      <w:r w:rsidR="007401C5">
        <w:rPr>
          <w:rFonts w:eastAsia="Times New Roman"/>
          <w:b/>
        </w:rPr>
        <w:t>to</w:t>
      </w:r>
      <w:r>
        <w:rPr>
          <w:rFonts w:eastAsia="Times New Roman"/>
          <w:b/>
        </w:rPr>
        <w:t xml:space="preserve"> </w:t>
      </w:r>
      <w:r>
        <w:rPr>
          <w:b/>
          <w:color w:val="000000" w:themeColor="text1"/>
        </w:rPr>
        <w:t xml:space="preserve">track the network response after UE triggers the Fast </w:t>
      </w:r>
      <w:r w:rsidR="00257AE3">
        <w:rPr>
          <w:b/>
          <w:color w:val="000000" w:themeColor="text1"/>
        </w:rPr>
        <w:t xml:space="preserve">MCG </w:t>
      </w:r>
      <w:r>
        <w:rPr>
          <w:b/>
          <w:color w:val="000000" w:themeColor="text1"/>
        </w:rPr>
        <w:t>Recovery procedure</w:t>
      </w:r>
      <w:r w:rsidR="00130A4B">
        <w:rPr>
          <w:b/>
          <w:color w:val="000000" w:themeColor="text1"/>
        </w:rPr>
        <w:t>:</w:t>
      </w:r>
    </w:p>
    <w:p w14:paraId="6588592E" w14:textId="77777777" w:rsidR="00F6501A" w:rsidRDefault="00D1712D" w:rsidP="00F6501A">
      <w:pPr>
        <w:pStyle w:val="ListParagraph"/>
        <w:numPr>
          <w:ilvl w:val="0"/>
          <w:numId w:val="32"/>
        </w:numPr>
        <w:rPr>
          <w:b/>
          <w:color w:val="000000" w:themeColor="text1"/>
        </w:rPr>
      </w:pPr>
      <w:r w:rsidRPr="00F6501A">
        <w:rPr>
          <w:b/>
          <w:color w:val="000000" w:themeColor="text1"/>
        </w:rPr>
        <w:t xml:space="preserve">The timer is started when UE initiates the procedure by transmitting the MCG failure information message. </w:t>
      </w:r>
    </w:p>
    <w:p w14:paraId="7B73A193" w14:textId="510FC86A" w:rsidR="00D1712D" w:rsidRPr="00F6501A" w:rsidRDefault="00D1712D" w:rsidP="00F6501A">
      <w:pPr>
        <w:pStyle w:val="ListParagraph"/>
        <w:numPr>
          <w:ilvl w:val="0"/>
          <w:numId w:val="32"/>
        </w:numPr>
        <w:rPr>
          <w:b/>
          <w:color w:val="000000" w:themeColor="text1"/>
        </w:rPr>
      </w:pPr>
      <w:r w:rsidRPr="00F6501A">
        <w:rPr>
          <w:b/>
          <w:color w:val="000000" w:themeColor="text1"/>
        </w:rPr>
        <w:t xml:space="preserve">If </w:t>
      </w:r>
      <w:r w:rsidR="00F21FED" w:rsidRPr="00F6501A">
        <w:rPr>
          <w:b/>
          <w:color w:val="000000" w:themeColor="text1"/>
        </w:rPr>
        <w:t xml:space="preserve">the MCG Failure Information message is transmitted successfully and if </w:t>
      </w:r>
      <w:r w:rsidRPr="00F6501A">
        <w:rPr>
          <w:b/>
          <w:color w:val="000000" w:themeColor="text1"/>
        </w:rPr>
        <w:t xml:space="preserve">the timer expires before UE receives a response from the network, UE performs the </w:t>
      </w:r>
      <w:r w:rsidR="008017C0" w:rsidRPr="00F6501A">
        <w:rPr>
          <w:b/>
          <w:color w:val="000000" w:themeColor="text1"/>
        </w:rPr>
        <w:t xml:space="preserve">RRC </w:t>
      </w:r>
      <w:r w:rsidRPr="00F6501A">
        <w:rPr>
          <w:b/>
          <w:color w:val="000000" w:themeColor="text1"/>
        </w:rPr>
        <w:t>re-establishment procedure.</w:t>
      </w:r>
    </w:p>
    <w:p w14:paraId="47527E48" w14:textId="7F1CC31E" w:rsidR="00E85CB2" w:rsidRDefault="004720D4" w:rsidP="00E85CB2">
      <w:pPr>
        <w:pStyle w:val="Heading1"/>
      </w:pPr>
      <w:r>
        <w:t>5</w:t>
      </w:r>
      <w:r w:rsidR="00E85CB2">
        <w:t xml:space="preserve"> Conclusion</w:t>
      </w:r>
    </w:p>
    <w:p w14:paraId="5D57901E" w14:textId="7121109A" w:rsidR="008269EF" w:rsidRDefault="00E85CB2" w:rsidP="008269EF">
      <w:pPr>
        <w:spacing w:before="120" w:after="0"/>
      </w:pPr>
      <w:bookmarkStart w:id="4" w:name="_Hlk512894710"/>
      <w:r>
        <w:t xml:space="preserve">Based on the above discussions, we recommend </w:t>
      </w:r>
      <w:r w:rsidR="0086028E">
        <w:t xml:space="preserve">that </w:t>
      </w:r>
      <w:r>
        <w:t>RAN2 discuss the following observations and proposals:</w:t>
      </w:r>
      <w:bookmarkEnd w:id="4"/>
    </w:p>
    <w:p w14:paraId="1C86C92D" w14:textId="77777777" w:rsidR="00E008C4" w:rsidRDefault="00E008C4" w:rsidP="008269EF">
      <w:pPr>
        <w:spacing w:before="120" w:after="0"/>
      </w:pPr>
    </w:p>
    <w:p w14:paraId="164B0387" w14:textId="77777777" w:rsidR="00D5509F" w:rsidRDefault="00D5509F" w:rsidP="007401C5">
      <w:pPr>
        <w:spacing w:after="120"/>
        <w:rPr>
          <w:rFonts w:eastAsia="Times New Roman"/>
          <w:b/>
        </w:rPr>
      </w:pPr>
      <w:r>
        <w:rPr>
          <w:rFonts w:eastAsia="Times New Roman"/>
          <w:b/>
          <w:color w:val="0070C0"/>
        </w:rPr>
        <w:t>Observation</w:t>
      </w:r>
      <w:r w:rsidRPr="00B4194B">
        <w:rPr>
          <w:rFonts w:eastAsia="Times New Roman"/>
          <w:b/>
          <w:color w:val="0070C0"/>
        </w:rPr>
        <w:t xml:space="preserve"> </w:t>
      </w:r>
      <w:r>
        <w:rPr>
          <w:rFonts w:eastAsia="Times New Roman"/>
          <w:b/>
          <w:color w:val="0070C0"/>
        </w:rPr>
        <w:t>1:</w:t>
      </w:r>
      <w:r>
        <w:rPr>
          <w:rFonts w:eastAsia="Times New Roman"/>
        </w:rPr>
        <w:t xml:space="preserve"> </w:t>
      </w:r>
      <w:r w:rsidRPr="002D1A5D">
        <w:rPr>
          <w:rFonts w:eastAsia="Times New Roman"/>
          <w:b/>
        </w:rPr>
        <w:t xml:space="preserve">If </w:t>
      </w:r>
      <w:r w:rsidRPr="00433AA8">
        <w:rPr>
          <w:rFonts w:eastAsia="Times New Roman"/>
          <w:b/>
        </w:rPr>
        <w:t xml:space="preserve">SRB3 </w:t>
      </w:r>
      <w:r>
        <w:rPr>
          <w:rFonts w:eastAsia="Times New Roman"/>
          <w:b/>
        </w:rPr>
        <w:t>is introduced to indicate MCG failure information, it will bring</w:t>
      </w:r>
      <w:r w:rsidRPr="00433AA8">
        <w:rPr>
          <w:rFonts w:eastAsia="Times New Roman"/>
          <w:b/>
        </w:rPr>
        <w:t xml:space="preserve"> additional complexity involved in forwarding </w:t>
      </w:r>
      <w:r>
        <w:rPr>
          <w:rFonts w:eastAsia="Times New Roman"/>
          <w:b/>
        </w:rPr>
        <w:t xml:space="preserve">messages of the procedure, e.g., </w:t>
      </w:r>
      <w:r w:rsidRPr="00433AA8">
        <w:rPr>
          <w:rFonts w:eastAsia="Times New Roman"/>
          <w:b/>
        </w:rPr>
        <w:t>MCG failure notification and handover messages</w:t>
      </w:r>
      <w:r>
        <w:rPr>
          <w:rFonts w:eastAsia="Times New Roman"/>
          <w:b/>
        </w:rPr>
        <w:t>,</w:t>
      </w:r>
      <w:r w:rsidRPr="00433AA8">
        <w:rPr>
          <w:rFonts w:eastAsia="Times New Roman"/>
          <w:b/>
        </w:rPr>
        <w:t xml:space="preserve"> in new containers over the </w:t>
      </w:r>
      <w:proofErr w:type="spellStart"/>
      <w:r w:rsidRPr="00433AA8">
        <w:rPr>
          <w:rFonts w:eastAsia="Times New Roman"/>
          <w:b/>
        </w:rPr>
        <w:t>Xn</w:t>
      </w:r>
      <w:proofErr w:type="spellEnd"/>
      <w:r w:rsidRPr="00433AA8">
        <w:rPr>
          <w:rFonts w:eastAsia="Times New Roman"/>
          <w:b/>
        </w:rPr>
        <w:t>/X2 interface between the MN and SN.</w:t>
      </w:r>
      <w:r>
        <w:rPr>
          <w:rFonts w:eastAsia="Times New Roman"/>
          <w:b/>
        </w:rPr>
        <w:t xml:space="preserve"> </w:t>
      </w:r>
    </w:p>
    <w:p w14:paraId="56D31BEC" w14:textId="77777777" w:rsidR="00D5509F" w:rsidRPr="006B7CD2" w:rsidRDefault="00D5509F" w:rsidP="007401C5">
      <w:pPr>
        <w:spacing w:after="120"/>
        <w:rPr>
          <w:rFonts w:eastAsia="Times New Roman"/>
          <w:b/>
        </w:rPr>
      </w:pPr>
      <w:r>
        <w:rPr>
          <w:rFonts w:eastAsia="Times New Roman"/>
          <w:b/>
          <w:color w:val="0070C0"/>
        </w:rPr>
        <w:t>Observation</w:t>
      </w:r>
      <w:r w:rsidRPr="00B4194B">
        <w:rPr>
          <w:rFonts w:eastAsia="Times New Roman"/>
          <w:b/>
          <w:color w:val="0070C0"/>
        </w:rPr>
        <w:t xml:space="preserve"> </w:t>
      </w:r>
      <w:r>
        <w:rPr>
          <w:rFonts w:eastAsia="Times New Roman"/>
          <w:b/>
          <w:color w:val="0070C0"/>
        </w:rPr>
        <w:t>2:</w:t>
      </w:r>
      <w:r>
        <w:rPr>
          <w:rFonts w:eastAsia="Times New Roman"/>
        </w:rPr>
        <w:t xml:space="preserve"> </w:t>
      </w:r>
      <w:r w:rsidRPr="002D1A5D">
        <w:rPr>
          <w:rFonts w:eastAsia="Times New Roman"/>
          <w:b/>
        </w:rPr>
        <w:t xml:space="preserve">If </w:t>
      </w:r>
      <w:r w:rsidRPr="00433AA8">
        <w:rPr>
          <w:rFonts w:eastAsia="Times New Roman"/>
          <w:b/>
        </w:rPr>
        <w:t xml:space="preserve">SRB3 </w:t>
      </w:r>
      <w:r>
        <w:rPr>
          <w:rFonts w:eastAsia="Times New Roman"/>
          <w:b/>
        </w:rPr>
        <w:t>is introduced to indicate MCG failure information,</w:t>
      </w:r>
      <w:r w:rsidRPr="005717F9">
        <w:rPr>
          <w:rFonts w:eastAsia="Times New Roman"/>
          <w:b/>
        </w:rPr>
        <w:t xml:space="preserve"> </w:t>
      </w:r>
      <w:r>
        <w:rPr>
          <w:rFonts w:eastAsia="Times New Roman"/>
          <w:b/>
        </w:rPr>
        <w:t>it will go against the aim of having a unified solution for all MR-DC because SRB3 is not present in the NE-DC case.</w:t>
      </w:r>
    </w:p>
    <w:p w14:paraId="7235E6D5" w14:textId="77777777" w:rsidR="007401C5" w:rsidRPr="00F975CC" w:rsidRDefault="007401C5" w:rsidP="007401C5">
      <w:pPr>
        <w:spacing w:after="120"/>
        <w:rPr>
          <w:rFonts w:eastAsia="Times New Roman"/>
          <w:b/>
        </w:rPr>
      </w:pPr>
      <w:r>
        <w:rPr>
          <w:rFonts w:eastAsia="Times New Roman"/>
          <w:b/>
          <w:color w:val="0070C0"/>
        </w:rPr>
        <w:t>Observation</w:t>
      </w:r>
      <w:r w:rsidRPr="00B4194B">
        <w:rPr>
          <w:rFonts w:eastAsia="Times New Roman"/>
          <w:b/>
          <w:color w:val="0070C0"/>
        </w:rPr>
        <w:t xml:space="preserve"> </w:t>
      </w:r>
      <w:r>
        <w:rPr>
          <w:rFonts w:eastAsia="Times New Roman"/>
          <w:b/>
          <w:color w:val="0070C0"/>
        </w:rPr>
        <w:t>3:</w:t>
      </w:r>
      <w:r>
        <w:rPr>
          <w:rFonts w:eastAsia="Times New Roman"/>
        </w:rPr>
        <w:t xml:space="preserve"> </w:t>
      </w:r>
      <w:r w:rsidRPr="00F975CC">
        <w:rPr>
          <w:rFonts w:eastAsia="Times New Roman"/>
          <w:b/>
        </w:rPr>
        <w:t xml:space="preserve">If a timer is not defined for the fast MCG recovery procedure, the UE can potentially have a control plane connection to the network only through the SN for an indefinite </w:t>
      </w:r>
      <w:proofErr w:type="gramStart"/>
      <w:r w:rsidRPr="00F975CC">
        <w:rPr>
          <w:rFonts w:eastAsia="Times New Roman"/>
          <w:b/>
        </w:rPr>
        <w:t>period of time</w:t>
      </w:r>
      <w:proofErr w:type="gramEnd"/>
      <w:r w:rsidRPr="00F975CC">
        <w:rPr>
          <w:rFonts w:eastAsia="Times New Roman"/>
          <w:b/>
        </w:rPr>
        <w:t xml:space="preserve"> that can have other undesirable consequences.   </w:t>
      </w:r>
    </w:p>
    <w:p w14:paraId="04EB497E" w14:textId="37DD8223" w:rsidR="00E114A4" w:rsidRDefault="00E114A4" w:rsidP="0053353C">
      <w:pPr>
        <w:rPr>
          <w:b/>
          <w:bCs/>
          <w:color w:val="0070C0"/>
        </w:rPr>
      </w:pPr>
    </w:p>
    <w:p w14:paraId="4030A9CE" w14:textId="77777777" w:rsidR="007401C5" w:rsidRPr="004C3C03" w:rsidRDefault="007401C5" w:rsidP="007401C5">
      <w:pPr>
        <w:rPr>
          <w:rFonts w:eastAsiaTheme="minorHAnsi"/>
          <w:b/>
          <w:lang w:val="en-US"/>
        </w:rPr>
      </w:pPr>
      <w:r>
        <w:rPr>
          <w:b/>
          <w:bCs/>
          <w:color w:val="0070C0"/>
        </w:rPr>
        <w:t>Proposal 1:</w:t>
      </w:r>
      <w:r>
        <w:t xml:space="preserve"> </w:t>
      </w:r>
      <w:r w:rsidRPr="004C3C03">
        <w:rPr>
          <w:b/>
        </w:rPr>
        <w:t>The following Inter-MN handover failure causes should trigger the Fast MCG Recovery procedure:</w:t>
      </w:r>
    </w:p>
    <w:p w14:paraId="25EF2804" w14:textId="77777777" w:rsidR="007401C5" w:rsidRPr="004C3C03" w:rsidRDefault="007401C5" w:rsidP="007401C5">
      <w:pPr>
        <w:pStyle w:val="ListParagraph"/>
        <w:numPr>
          <w:ilvl w:val="0"/>
          <w:numId w:val="29"/>
        </w:numPr>
        <w:spacing w:after="160" w:line="252" w:lineRule="auto"/>
        <w:rPr>
          <w:rFonts w:eastAsia="Times New Roman"/>
          <w:b/>
          <w:bCs/>
          <w:i/>
          <w:iCs/>
          <w:color w:val="7030A0"/>
        </w:rPr>
      </w:pPr>
      <w:r w:rsidRPr="004C3C03">
        <w:rPr>
          <w:rFonts w:eastAsia="Times New Roman"/>
          <w:b/>
        </w:rPr>
        <w:t>MCG reconfiguration with sync failure (for NR-NR DC and NE-DC cases);</w:t>
      </w:r>
    </w:p>
    <w:p w14:paraId="62DEF5AC" w14:textId="77777777" w:rsidR="007401C5" w:rsidRPr="004C3C03" w:rsidRDefault="007401C5" w:rsidP="007401C5">
      <w:pPr>
        <w:pStyle w:val="ListParagraph"/>
        <w:numPr>
          <w:ilvl w:val="0"/>
          <w:numId w:val="29"/>
        </w:numPr>
        <w:spacing w:after="160" w:line="252" w:lineRule="auto"/>
        <w:rPr>
          <w:rFonts w:eastAsia="Times New Roman"/>
          <w:b/>
          <w:bCs/>
          <w:i/>
          <w:iCs/>
          <w:color w:val="7030A0"/>
        </w:rPr>
      </w:pPr>
      <w:r w:rsidRPr="004C3C03">
        <w:rPr>
          <w:rFonts w:eastAsia="Times New Roman"/>
          <w:b/>
        </w:rPr>
        <w:t>MN handover failure (for EN-DC and N</w:t>
      </w:r>
      <w:r>
        <w:rPr>
          <w:rFonts w:eastAsia="Times New Roman"/>
          <w:b/>
        </w:rPr>
        <w:t>G</w:t>
      </w:r>
      <w:r w:rsidRPr="004C3C03">
        <w:rPr>
          <w:rFonts w:eastAsia="Times New Roman"/>
          <w:b/>
        </w:rPr>
        <w:t>EN-DC cases);</w:t>
      </w:r>
    </w:p>
    <w:p w14:paraId="1E83A79F" w14:textId="77777777" w:rsidR="007401C5" w:rsidRPr="004C3C03" w:rsidRDefault="007401C5" w:rsidP="007401C5">
      <w:pPr>
        <w:rPr>
          <w:rFonts w:eastAsiaTheme="minorHAnsi"/>
          <w:b/>
        </w:rPr>
      </w:pPr>
      <w:r w:rsidRPr="004C3C03">
        <w:rPr>
          <w:b/>
        </w:rPr>
        <w:t>if the following conditions hold:</w:t>
      </w:r>
    </w:p>
    <w:p w14:paraId="3BC233F6" w14:textId="77777777" w:rsidR="007401C5" w:rsidRPr="004C3C03" w:rsidRDefault="007401C5" w:rsidP="007401C5">
      <w:pPr>
        <w:pStyle w:val="ListParagraph"/>
        <w:numPr>
          <w:ilvl w:val="0"/>
          <w:numId w:val="29"/>
        </w:numPr>
        <w:spacing w:after="160" w:line="252" w:lineRule="auto"/>
        <w:rPr>
          <w:rFonts w:eastAsia="Times New Roman"/>
          <w:b/>
          <w:bCs/>
          <w:i/>
          <w:iCs/>
          <w:color w:val="7030A0"/>
        </w:rPr>
      </w:pPr>
      <w:r>
        <w:rPr>
          <w:rFonts w:eastAsia="Times New Roman"/>
          <w:b/>
        </w:rPr>
        <w:t>I</w:t>
      </w:r>
      <w:r w:rsidRPr="00326FE1">
        <w:rPr>
          <w:rFonts w:eastAsia="Times New Roman"/>
          <w:b/>
        </w:rPr>
        <w:t>nter-MN handover with SN kept / changed</w:t>
      </w:r>
      <w:r>
        <w:rPr>
          <w:rFonts w:eastAsia="Times New Roman"/>
          <w:b/>
        </w:rPr>
        <w:t xml:space="preserve"> with </w:t>
      </w:r>
      <w:r w:rsidRPr="004C3C03">
        <w:rPr>
          <w:rFonts w:eastAsia="Times New Roman"/>
          <w:b/>
        </w:rPr>
        <w:t xml:space="preserve">SN </w:t>
      </w:r>
      <w:r>
        <w:rPr>
          <w:rFonts w:eastAsia="Times New Roman"/>
          <w:b/>
        </w:rPr>
        <w:t>available</w:t>
      </w:r>
      <w:r w:rsidRPr="004C3C03">
        <w:rPr>
          <w:rFonts w:eastAsia="Times New Roman"/>
          <w:b/>
        </w:rPr>
        <w:t xml:space="preserve"> upon handover;</w:t>
      </w:r>
    </w:p>
    <w:p w14:paraId="24503CDC" w14:textId="77777777" w:rsidR="007401C5" w:rsidRPr="004C3C03" w:rsidRDefault="007401C5" w:rsidP="007401C5">
      <w:pPr>
        <w:pStyle w:val="ListParagraph"/>
        <w:numPr>
          <w:ilvl w:val="0"/>
          <w:numId w:val="29"/>
        </w:numPr>
        <w:spacing w:after="160" w:line="252" w:lineRule="auto"/>
        <w:rPr>
          <w:rFonts w:eastAsia="Times New Roman"/>
          <w:b/>
          <w:bCs/>
          <w:i/>
          <w:iCs/>
          <w:color w:val="7030A0"/>
        </w:rPr>
      </w:pPr>
      <w:r w:rsidRPr="004C3C03">
        <w:rPr>
          <w:rFonts w:eastAsia="Times New Roman"/>
          <w:b/>
        </w:rPr>
        <w:t>UE succeeds in completing the RACH procedure with the (target) SN</w:t>
      </w:r>
      <w:r>
        <w:rPr>
          <w:rFonts w:eastAsia="Times New Roman"/>
          <w:b/>
        </w:rPr>
        <w:t>.</w:t>
      </w:r>
      <w:r w:rsidRPr="004C3C03">
        <w:rPr>
          <w:rFonts w:eastAsia="Times New Roman"/>
          <w:b/>
        </w:rPr>
        <w:t xml:space="preserve"> </w:t>
      </w:r>
    </w:p>
    <w:p w14:paraId="70AF4653" w14:textId="77777777" w:rsidR="007401C5" w:rsidRPr="004C3C03" w:rsidRDefault="007401C5" w:rsidP="007401C5">
      <w:pPr>
        <w:rPr>
          <w:rFonts w:eastAsiaTheme="minorHAnsi"/>
          <w:b/>
          <w:lang w:val="en-US"/>
        </w:rPr>
      </w:pPr>
      <w:r>
        <w:rPr>
          <w:b/>
          <w:bCs/>
          <w:color w:val="0070C0"/>
        </w:rPr>
        <w:t>Proposal 2:</w:t>
      </w:r>
      <w:r>
        <w:t xml:space="preserve"> </w:t>
      </w:r>
      <w:r>
        <w:rPr>
          <w:b/>
        </w:rPr>
        <w:t>Specify the following UE behaviour for i</w:t>
      </w:r>
      <w:r w:rsidRPr="004C3C03">
        <w:rPr>
          <w:b/>
        </w:rPr>
        <w:t>nter-MN handover failure trigger</w:t>
      </w:r>
      <w:r>
        <w:rPr>
          <w:b/>
        </w:rPr>
        <w:t>ed</w:t>
      </w:r>
      <w:r w:rsidRPr="004C3C03">
        <w:rPr>
          <w:b/>
        </w:rPr>
        <w:t xml:space="preserve"> </w:t>
      </w:r>
      <w:r>
        <w:rPr>
          <w:b/>
        </w:rPr>
        <w:t>f</w:t>
      </w:r>
      <w:r w:rsidRPr="004C3C03">
        <w:rPr>
          <w:b/>
        </w:rPr>
        <w:t>ast MCG Recovery procedure</w:t>
      </w:r>
      <w:r>
        <w:rPr>
          <w:b/>
        </w:rPr>
        <w:t>:</w:t>
      </w:r>
    </w:p>
    <w:p w14:paraId="0F29C3C2" w14:textId="77777777" w:rsidR="007401C5" w:rsidRDefault="007401C5" w:rsidP="007401C5">
      <w:pPr>
        <w:pStyle w:val="ListParagraph"/>
        <w:numPr>
          <w:ilvl w:val="0"/>
          <w:numId w:val="31"/>
        </w:numPr>
        <w:rPr>
          <w:rFonts w:eastAsia="Times New Roman"/>
          <w:b/>
        </w:rPr>
      </w:pPr>
      <w:r w:rsidRPr="00BF738F">
        <w:rPr>
          <w:rFonts w:eastAsia="Times New Roman"/>
          <w:b/>
        </w:rPr>
        <w:t xml:space="preserve">After completion of RACH procedure with (target) SN, UE performs integrity protection and ciphering of MCG Failure Information message using the new SN key and transmits it to (target) SN over split SRB1. </w:t>
      </w:r>
    </w:p>
    <w:p w14:paraId="47D656AD" w14:textId="67FD987F" w:rsidR="00D5509F" w:rsidRDefault="007401C5" w:rsidP="0053353C">
      <w:pPr>
        <w:pStyle w:val="ListParagraph"/>
        <w:numPr>
          <w:ilvl w:val="0"/>
          <w:numId w:val="31"/>
        </w:numPr>
        <w:rPr>
          <w:rFonts w:eastAsia="Times New Roman"/>
          <w:b/>
        </w:rPr>
      </w:pPr>
      <w:r w:rsidRPr="00BF738F">
        <w:rPr>
          <w:rFonts w:eastAsia="Times New Roman"/>
          <w:b/>
        </w:rPr>
        <w:t>UE should flush the SCG MAC UL HARQ buffers (which may contain PDUs encrypted using the previous key) before sending the MCG Failure Information message.</w:t>
      </w:r>
    </w:p>
    <w:p w14:paraId="6BE93BF0" w14:textId="77777777" w:rsidR="007401C5" w:rsidRPr="007401C5" w:rsidRDefault="007401C5" w:rsidP="007401C5">
      <w:pPr>
        <w:rPr>
          <w:b/>
        </w:rPr>
      </w:pPr>
      <w:r w:rsidRPr="007401C5">
        <w:rPr>
          <w:b/>
          <w:bCs/>
          <w:color w:val="0070C0"/>
        </w:rPr>
        <w:t>Proposal 3:</w:t>
      </w:r>
      <w:r>
        <w:t xml:space="preserve"> </w:t>
      </w:r>
      <w:r w:rsidRPr="007401C5">
        <w:rPr>
          <w:b/>
        </w:rPr>
        <w:t>Fo</w:t>
      </w:r>
      <w:r w:rsidRPr="007401C5">
        <w:rPr>
          <w:rFonts w:eastAsia="Times New Roman"/>
          <w:b/>
        </w:rPr>
        <w:t>r inter-MN handover with SN released and no SN added, the UE performs RRC re-establishment procedure.</w:t>
      </w:r>
    </w:p>
    <w:p w14:paraId="764A59D3" w14:textId="74C3C0C0" w:rsidR="007401C5" w:rsidRDefault="007401C5" w:rsidP="007401C5">
      <w:pPr>
        <w:rPr>
          <w:rFonts w:eastAsia="Times New Roman"/>
          <w:b/>
        </w:rPr>
      </w:pPr>
      <w:r w:rsidRPr="00B4194B">
        <w:rPr>
          <w:rFonts w:eastAsia="Times New Roman"/>
          <w:b/>
          <w:color w:val="0070C0"/>
        </w:rPr>
        <w:t xml:space="preserve">Proposal </w:t>
      </w:r>
      <w:r>
        <w:rPr>
          <w:rFonts w:eastAsia="Times New Roman"/>
          <w:b/>
          <w:color w:val="0070C0"/>
        </w:rPr>
        <w:t>4:</w:t>
      </w:r>
      <w:r>
        <w:rPr>
          <w:rFonts w:eastAsia="Times New Roman"/>
        </w:rPr>
        <w:t xml:space="preserve"> </w:t>
      </w:r>
      <w:r w:rsidRPr="00433AA8">
        <w:rPr>
          <w:rFonts w:eastAsia="Times New Roman"/>
          <w:b/>
        </w:rPr>
        <w:t xml:space="preserve">SRB3 </w:t>
      </w:r>
      <w:r>
        <w:rPr>
          <w:rFonts w:eastAsia="Times New Roman"/>
          <w:b/>
        </w:rPr>
        <w:t>is</w:t>
      </w:r>
      <w:r w:rsidRPr="00433AA8">
        <w:rPr>
          <w:rFonts w:eastAsia="Times New Roman"/>
          <w:b/>
        </w:rPr>
        <w:t xml:space="preserve"> </w:t>
      </w:r>
      <w:bookmarkStart w:id="5" w:name="_GoBack"/>
      <w:r w:rsidR="00C42A4B">
        <w:rPr>
          <w:rFonts w:eastAsia="Times New Roman"/>
          <w:b/>
        </w:rPr>
        <w:t xml:space="preserve">not </w:t>
      </w:r>
      <w:bookmarkEnd w:id="5"/>
      <w:r w:rsidRPr="00433AA8">
        <w:rPr>
          <w:rFonts w:eastAsia="Times New Roman"/>
          <w:b/>
        </w:rPr>
        <w:t xml:space="preserve">used </w:t>
      </w:r>
      <w:r w:rsidRPr="008169F2">
        <w:rPr>
          <w:rFonts w:eastAsia="Times New Roman"/>
          <w:b/>
        </w:rPr>
        <w:t>for MCG fast recovery</w:t>
      </w:r>
      <w:r>
        <w:rPr>
          <w:rFonts w:eastAsia="Times New Roman"/>
          <w:b/>
        </w:rPr>
        <w:t>.</w:t>
      </w:r>
    </w:p>
    <w:p w14:paraId="3233BFD4" w14:textId="77777777" w:rsidR="00210C14" w:rsidRDefault="00210C14" w:rsidP="00210C14">
      <w:pPr>
        <w:rPr>
          <w:b/>
          <w:color w:val="000000" w:themeColor="text1"/>
        </w:rPr>
      </w:pPr>
      <w:r w:rsidRPr="00704EBA">
        <w:rPr>
          <w:b/>
          <w:color w:val="0070C0"/>
        </w:rPr>
        <w:t>Proposal</w:t>
      </w:r>
      <w:r>
        <w:rPr>
          <w:b/>
          <w:i/>
          <w:color w:val="0070C0"/>
        </w:rPr>
        <w:t xml:space="preserve"> </w:t>
      </w:r>
      <w:r>
        <w:rPr>
          <w:b/>
          <w:color w:val="0070C0"/>
        </w:rPr>
        <w:t>5:</w:t>
      </w:r>
      <w:r w:rsidRPr="00704EBA">
        <w:rPr>
          <w:rFonts w:eastAsia="Times New Roman"/>
        </w:rPr>
        <w:t xml:space="preserve"> </w:t>
      </w:r>
      <w:r>
        <w:rPr>
          <w:rFonts w:eastAsia="Times New Roman"/>
          <w:b/>
        </w:rPr>
        <w:t xml:space="preserve">Introduce a timer to </w:t>
      </w:r>
      <w:r>
        <w:rPr>
          <w:b/>
          <w:color w:val="000000" w:themeColor="text1"/>
        </w:rPr>
        <w:t>track the network response after UE triggers the Fast MCG Recovery procedure:</w:t>
      </w:r>
    </w:p>
    <w:p w14:paraId="0652F8F1" w14:textId="77777777" w:rsidR="00210C14" w:rsidRDefault="00210C14" w:rsidP="00210C14">
      <w:pPr>
        <w:pStyle w:val="ListParagraph"/>
        <w:numPr>
          <w:ilvl w:val="0"/>
          <w:numId w:val="32"/>
        </w:numPr>
        <w:rPr>
          <w:b/>
          <w:color w:val="000000" w:themeColor="text1"/>
        </w:rPr>
      </w:pPr>
      <w:r w:rsidRPr="00F6501A">
        <w:rPr>
          <w:b/>
          <w:color w:val="000000" w:themeColor="text1"/>
        </w:rPr>
        <w:lastRenderedPageBreak/>
        <w:t xml:space="preserve">The timer is started when UE initiates the procedure by transmitting the MCG failure information message. </w:t>
      </w:r>
    </w:p>
    <w:p w14:paraId="3824EF9F" w14:textId="77777777" w:rsidR="00210C14" w:rsidRPr="00F6501A" w:rsidRDefault="00210C14" w:rsidP="00210C14">
      <w:pPr>
        <w:pStyle w:val="ListParagraph"/>
        <w:numPr>
          <w:ilvl w:val="0"/>
          <w:numId w:val="32"/>
        </w:numPr>
        <w:rPr>
          <w:b/>
          <w:color w:val="000000" w:themeColor="text1"/>
        </w:rPr>
      </w:pPr>
      <w:r w:rsidRPr="00F6501A">
        <w:rPr>
          <w:b/>
          <w:color w:val="000000" w:themeColor="text1"/>
        </w:rPr>
        <w:t>If the MCG Failure Information message is transmitted successfully and if the timer expires before UE receives a response from the network, UE performs the RRC re-establishment procedure.</w:t>
      </w:r>
    </w:p>
    <w:p w14:paraId="0720F45B" w14:textId="77777777" w:rsidR="00D5509F" w:rsidRDefault="00D5509F" w:rsidP="0053353C">
      <w:pPr>
        <w:rPr>
          <w:b/>
          <w:bCs/>
          <w:color w:val="0070C0"/>
        </w:rPr>
      </w:pPr>
    </w:p>
    <w:p w14:paraId="20477D69" w14:textId="77777777" w:rsidR="00E85CB2" w:rsidRDefault="00E85CB2" w:rsidP="00E85CB2">
      <w:pPr>
        <w:pStyle w:val="Heading1"/>
      </w:pPr>
      <w:r>
        <w:t>References</w:t>
      </w:r>
    </w:p>
    <w:p w14:paraId="72E47189" w14:textId="57662E3C" w:rsidR="00971E44" w:rsidRDefault="0048485F">
      <w:r>
        <w:t>[</w:t>
      </w:r>
      <w:r w:rsidR="001E4DF4">
        <w:t>1</w:t>
      </w:r>
      <w:r>
        <w:t xml:space="preserve">] </w:t>
      </w:r>
      <w:r w:rsidR="00B04138">
        <w:t>3GPP TS 37.340</w:t>
      </w:r>
      <w:r w:rsidR="00512C36">
        <w:t xml:space="preserve">: </w:t>
      </w:r>
      <w:r w:rsidR="00512C36" w:rsidRPr="00520387">
        <w:t>"</w:t>
      </w:r>
      <w:r w:rsidR="00D21734">
        <w:t xml:space="preserve">E-UTRA and </w:t>
      </w:r>
      <w:r w:rsidR="00512C36" w:rsidRPr="00520387">
        <w:t>NR; Multi-connectivity; Overall description; Stage-2".</w:t>
      </w:r>
    </w:p>
    <w:p w14:paraId="65F05D04" w14:textId="07342486" w:rsidR="00626182" w:rsidRDefault="00626182"/>
    <w:sectPr w:rsidR="00626182"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7B402" w14:textId="77777777" w:rsidR="003A4F94" w:rsidRDefault="003A4F94">
      <w:pPr>
        <w:spacing w:after="0"/>
      </w:pPr>
      <w:r>
        <w:separator/>
      </w:r>
    </w:p>
  </w:endnote>
  <w:endnote w:type="continuationSeparator" w:id="0">
    <w:p w14:paraId="5924E34D" w14:textId="77777777" w:rsidR="003A4F94" w:rsidRDefault="003A4F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AA498" w14:textId="77777777" w:rsidR="003A4F94" w:rsidRDefault="003A4F94">
      <w:pPr>
        <w:spacing w:after="0"/>
      </w:pPr>
      <w:r>
        <w:separator/>
      </w:r>
    </w:p>
  </w:footnote>
  <w:footnote w:type="continuationSeparator" w:id="0">
    <w:p w14:paraId="4C1D0361" w14:textId="77777777" w:rsidR="003A4F94" w:rsidRDefault="003A4F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3"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5" w15:restartNumberingAfterBreak="0">
    <w:nsid w:val="19A63A99"/>
    <w:multiLevelType w:val="hybridMultilevel"/>
    <w:tmpl w:val="D5EA079A"/>
    <w:lvl w:ilvl="0" w:tplc="A16AF50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7"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05F51"/>
    <w:multiLevelType w:val="hybridMultilevel"/>
    <w:tmpl w:val="C038D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0C5EC4"/>
    <w:multiLevelType w:val="hybridMultilevel"/>
    <w:tmpl w:val="4B0C9644"/>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A66683"/>
    <w:multiLevelType w:val="hybridMultilevel"/>
    <w:tmpl w:val="4B0C9644"/>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B910FD"/>
    <w:multiLevelType w:val="hybridMultilevel"/>
    <w:tmpl w:val="2C88A2D4"/>
    <w:lvl w:ilvl="0" w:tplc="4AF4D1CC">
      <w:start w:val="1"/>
      <w:numFmt w:val="decimal"/>
      <w:lvlText w:val="%1."/>
      <w:lvlJc w:val="left"/>
      <w:pPr>
        <w:ind w:left="720" w:hanging="360"/>
      </w:pPr>
      <w:rPr>
        <w:rFonts w:hint="default"/>
        <w:b w:val="0"/>
        <w:color w:val="auto"/>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15:restartNumberingAfterBreak="0">
    <w:nsid w:val="46556D2D"/>
    <w:multiLevelType w:val="hybridMultilevel"/>
    <w:tmpl w:val="615A591A"/>
    <w:lvl w:ilvl="0" w:tplc="4C20D5D2">
      <w:numFmt w:val="bullet"/>
      <w:lvlText w:val="-"/>
      <w:lvlJc w:val="left"/>
      <w:pPr>
        <w:ind w:left="720" w:hanging="360"/>
      </w:pPr>
      <w:rPr>
        <w:rFonts w:ascii="Times New Roman" w:eastAsia="Calibri" w:hAnsi="Times New Roman" w:cs="Times New Roman" w:hint="default"/>
        <w:b w:val="0"/>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B651D2B"/>
    <w:multiLevelType w:val="hybridMultilevel"/>
    <w:tmpl w:val="3E188AD2"/>
    <w:lvl w:ilvl="0" w:tplc="A16AF50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411CA5"/>
    <w:multiLevelType w:val="hybridMultilevel"/>
    <w:tmpl w:val="4ACA7D2A"/>
    <w:lvl w:ilvl="0" w:tplc="A16AF50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D64D8"/>
    <w:multiLevelType w:val="hybridMultilevel"/>
    <w:tmpl w:val="4FC0CF78"/>
    <w:lvl w:ilvl="0" w:tplc="BBC28434">
      <w:start w:val="1"/>
      <w:numFmt w:val="decimal"/>
      <w:lvlText w:val="%1."/>
      <w:lvlJc w:val="left"/>
      <w:pPr>
        <w:ind w:left="1619" w:hanging="360"/>
      </w:pPr>
      <w:rPr>
        <w:rFonts w:ascii="Times New Roman" w:hAnsi="Times New Roman" w:cs="Times New Roman" w:hint="default"/>
        <w:sz w:val="20"/>
        <w:szCs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1"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C548F5"/>
    <w:multiLevelType w:val="hybridMultilevel"/>
    <w:tmpl w:val="11926DB0"/>
    <w:lvl w:ilvl="0" w:tplc="8C3C43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3"/>
  </w:num>
  <w:num w:numId="4">
    <w:abstractNumId w:val="2"/>
  </w:num>
  <w:num w:numId="5">
    <w:abstractNumId w:val="0"/>
  </w:num>
  <w:num w:numId="6">
    <w:abstractNumId w:val="0"/>
  </w:num>
  <w:num w:numId="7">
    <w:abstractNumId w:val="0"/>
  </w:num>
  <w:num w:numId="8">
    <w:abstractNumId w:val="23"/>
  </w:num>
  <w:num w:numId="9">
    <w:abstractNumId w:val="10"/>
  </w:num>
  <w:num w:numId="10">
    <w:abstractNumId w:val="1"/>
  </w:num>
  <w:num w:numId="11">
    <w:abstractNumId w:val="0"/>
  </w:num>
  <w:num w:numId="12">
    <w:abstractNumId w:val="25"/>
  </w:num>
  <w:num w:numId="13">
    <w:abstractNumId w:val="25"/>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4"/>
  </w:num>
  <w:num w:numId="17">
    <w:abstractNumId w:val="8"/>
  </w:num>
  <w:num w:numId="18">
    <w:abstractNumId w:val="11"/>
  </w:num>
  <w:num w:numId="19">
    <w:abstractNumId w:val="24"/>
  </w:num>
  <w:num w:numId="20">
    <w:abstractNumId w:val="20"/>
  </w:num>
  <w:num w:numId="21">
    <w:abstractNumId w:val="26"/>
  </w:num>
  <w:num w:numId="22">
    <w:abstractNumId w:val="7"/>
  </w:num>
  <w:num w:numId="23">
    <w:abstractNumId w:val="19"/>
  </w:num>
  <w:num w:numId="24">
    <w:abstractNumId w:val="13"/>
  </w:num>
  <w:num w:numId="25">
    <w:abstractNumId w:val="14"/>
  </w:num>
  <w:num w:numId="26">
    <w:abstractNumId w:val="22"/>
  </w:num>
  <w:num w:numId="27">
    <w:abstractNumId w:val="12"/>
  </w:num>
  <w:num w:numId="28">
    <w:abstractNumId w:val="5"/>
  </w:num>
  <w:num w:numId="29">
    <w:abstractNumId w:val="16"/>
  </w:num>
  <w:num w:numId="30">
    <w:abstractNumId w:val="9"/>
  </w:num>
  <w:num w:numId="31">
    <w:abstractNumId w:val="17"/>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546D"/>
    <w:rsid w:val="00012CB3"/>
    <w:rsid w:val="00015923"/>
    <w:rsid w:val="0002161B"/>
    <w:rsid w:val="00024406"/>
    <w:rsid w:val="00026268"/>
    <w:rsid w:val="0003252E"/>
    <w:rsid w:val="00036628"/>
    <w:rsid w:val="00050B08"/>
    <w:rsid w:val="00054C1A"/>
    <w:rsid w:val="0005741A"/>
    <w:rsid w:val="00062FAF"/>
    <w:rsid w:val="0006688F"/>
    <w:rsid w:val="0007084B"/>
    <w:rsid w:val="00085D6C"/>
    <w:rsid w:val="00093832"/>
    <w:rsid w:val="00096750"/>
    <w:rsid w:val="000B5F48"/>
    <w:rsid w:val="000C3636"/>
    <w:rsid w:val="000E6408"/>
    <w:rsid w:val="000F218C"/>
    <w:rsid w:val="000F32DC"/>
    <w:rsid w:val="0011208D"/>
    <w:rsid w:val="00121EC5"/>
    <w:rsid w:val="00130A4B"/>
    <w:rsid w:val="00134F2F"/>
    <w:rsid w:val="00140B01"/>
    <w:rsid w:val="001413EB"/>
    <w:rsid w:val="00166B4B"/>
    <w:rsid w:val="00167317"/>
    <w:rsid w:val="00175AD4"/>
    <w:rsid w:val="0018036D"/>
    <w:rsid w:val="0018594C"/>
    <w:rsid w:val="001978D6"/>
    <w:rsid w:val="001A258E"/>
    <w:rsid w:val="001A2948"/>
    <w:rsid w:val="001A5B99"/>
    <w:rsid w:val="001B1DD1"/>
    <w:rsid w:val="001B3B14"/>
    <w:rsid w:val="001E4DF4"/>
    <w:rsid w:val="001E66ED"/>
    <w:rsid w:val="001F54E1"/>
    <w:rsid w:val="0020285F"/>
    <w:rsid w:val="0021098B"/>
    <w:rsid w:val="00210C14"/>
    <w:rsid w:val="0022650B"/>
    <w:rsid w:val="00227643"/>
    <w:rsid w:val="00234478"/>
    <w:rsid w:val="00235329"/>
    <w:rsid w:val="00237F0A"/>
    <w:rsid w:val="00242A1E"/>
    <w:rsid w:val="00242C9C"/>
    <w:rsid w:val="002519BA"/>
    <w:rsid w:val="00254273"/>
    <w:rsid w:val="00256E1B"/>
    <w:rsid w:val="00257AE3"/>
    <w:rsid w:val="00263AE4"/>
    <w:rsid w:val="00290FF0"/>
    <w:rsid w:val="00293B03"/>
    <w:rsid w:val="002949F6"/>
    <w:rsid w:val="002A4C67"/>
    <w:rsid w:val="002B78F3"/>
    <w:rsid w:val="002D1A5D"/>
    <w:rsid w:val="002E5A81"/>
    <w:rsid w:val="002E6A4A"/>
    <w:rsid w:val="00302862"/>
    <w:rsid w:val="003058BC"/>
    <w:rsid w:val="00305DBD"/>
    <w:rsid w:val="00306101"/>
    <w:rsid w:val="003104CB"/>
    <w:rsid w:val="003205FB"/>
    <w:rsid w:val="00325EDC"/>
    <w:rsid w:val="00326FE1"/>
    <w:rsid w:val="0033520C"/>
    <w:rsid w:val="00344710"/>
    <w:rsid w:val="00350961"/>
    <w:rsid w:val="00355612"/>
    <w:rsid w:val="00364CFF"/>
    <w:rsid w:val="003660C9"/>
    <w:rsid w:val="00376B24"/>
    <w:rsid w:val="003824AF"/>
    <w:rsid w:val="003852BF"/>
    <w:rsid w:val="003A047C"/>
    <w:rsid w:val="003A4F94"/>
    <w:rsid w:val="003B0B53"/>
    <w:rsid w:val="003B10D1"/>
    <w:rsid w:val="003B6B3A"/>
    <w:rsid w:val="003B74D9"/>
    <w:rsid w:val="003C2FD7"/>
    <w:rsid w:val="003C7B12"/>
    <w:rsid w:val="003C7B67"/>
    <w:rsid w:val="003D0207"/>
    <w:rsid w:val="003D1617"/>
    <w:rsid w:val="003E28E3"/>
    <w:rsid w:val="003F382A"/>
    <w:rsid w:val="003F541F"/>
    <w:rsid w:val="00401270"/>
    <w:rsid w:val="004178BE"/>
    <w:rsid w:val="00420597"/>
    <w:rsid w:val="004250FB"/>
    <w:rsid w:val="00427D5E"/>
    <w:rsid w:val="0043391C"/>
    <w:rsid w:val="00433AA8"/>
    <w:rsid w:val="00436137"/>
    <w:rsid w:val="00460455"/>
    <w:rsid w:val="0046258F"/>
    <w:rsid w:val="004642EE"/>
    <w:rsid w:val="004720D4"/>
    <w:rsid w:val="0047323C"/>
    <w:rsid w:val="004835E2"/>
    <w:rsid w:val="00484083"/>
    <w:rsid w:val="0048485F"/>
    <w:rsid w:val="00486051"/>
    <w:rsid w:val="0049047C"/>
    <w:rsid w:val="00491D03"/>
    <w:rsid w:val="004928AE"/>
    <w:rsid w:val="004930A8"/>
    <w:rsid w:val="00497461"/>
    <w:rsid w:val="004A09E4"/>
    <w:rsid w:val="004A1767"/>
    <w:rsid w:val="004B00C0"/>
    <w:rsid w:val="004B2F34"/>
    <w:rsid w:val="004B3FFC"/>
    <w:rsid w:val="004B5FC5"/>
    <w:rsid w:val="004C0212"/>
    <w:rsid w:val="004C2A08"/>
    <w:rsid w:val="004C3C03"/>
    <w:rsid w:val="004C4B75"/>
    <w:rsid w:val="004C68CD"/>
    <w:rsid w:val="004D65DF"/>
    <w:rsid w:val="004D7435"/>
    <w:rsid w:val="004E28C2"/>
    <w:rsid w:val="004F28C2"/>
    <w:rsid w:val="004F3FC3"/>
    <w:rsid w:val="004F4D77"/>
    <w:rsid w:val="00502BC8"/>
    <w:rsid w:val="00505993"/>
    <w:rsid w:val="00505B01"/>
    <w:rsid w:val="00507B88"/>
    <w:rsid w:val="00511ACB"/>
    <w:rsid w:val="00512905"/>
    <w:rsid w:val="00512C36"/>
    <w:rsid w:val="00512F07"/>
    <w:rsid w:val="0053172A"/>
    <w:rsid w:val="0053353C"/>
    <w:rsid w:val="0054239B"/>
    <w:rsid w:val="0054246F"/>
    <w:rsid w:val="00543860"/>
    <w:rsid w:val="00547A01"/>
    <w:rsid w:val="00550142"/>
    <w:rsid w:val="00553150"/>
    <w:rsid w:val="00562E37"/>
    <w:rsid w:val="0056422D"/>
    <w:rsid w:val="005717F9"/>
    <w:rsid w:val="00573A5B"/>
    <w:rsid w:val="0057478A"/>
    <w:rsid w:val="005848D3"/>
    <w:rsid w:val="005906D1"/>
    <w:rsid w:val="005919F1"/>
    <w:rsid w:val="00592222"/>
    <w:rsid w:val="005A39A1"/>
    <w:rsid w:val="005A5996"/>
    <w:rsid w:val="005C0118"/>
    <w:rsid w:val="005C3518"/>
    <w:rsid w:val="005C4658"/>
    <w:rsid w:val="005D02E5"/>
    <w:rsid w:val="005D113A"/>
    <w:rsid w:val="005E1D2F"/>
    <w:rsid w:val="005E3BDF"/>
    <w:rsid w:val="005F16CC"/>
    <w:rsid w:val="005F42B5"/>
    <w:rsid w:val="00624374"/>
    <w:rsid w:val="006254E6"/>
    <w:rsid w:val="00626182"/>
    <w:rsid w:val="00626293"/>
    <w:rsid w:val="00635D38"/>
    <w:rsid w:val="00650CB6"/>
    <w:rsid w:val="00650CD5"/>
    <w:rsid w:val="00655D6C"/>
    <w:rsid w:val="00667557"/>
    <w:rsid w:val="006706A6"/>
    <w:rsid w:val="00672587"/>
    <w:rsid w:val="00680310"/>
    <w:rsid w:val="00683ECA"/>
    <w:rsid w:val="006848B1"/>
    <w:rsid w:val="0068670E"/>
    <w:rsid w:val="006B7CD2"/>
    <w:rsid w:val="006C63F4"/>
    <w:rsid w:val="006D6D51"/>
    <w:rsid w:val="006E2452"/>
    <w:rsid w:val="006E3125"/>
    <w:rsid w:val="006E5733"/>
    <w:rsid w:val="006F12E4"/>
    <w:rsid w:val="006F4245"/>
    <w:rsid w:val="007047B7"/>
    <w:rsid w:val="00704B30"/>
    <w:rsid w:val="00704BB6"/>
    <w:rsid w:val="00705923"/>
    <w:rsid w:val="00707715"/>
    <w:rsid w:val="00710AC5"/>
    <w:rsid w:val="0071414D"/>
    <w:rsid w:val="00715D6A"/>
    <w:rsid w:val="00722519"/>
    <w:rsid w:val="00722BCB"/>
    <w:rsid w:val="007401C5"/>
    <w:rsid w:val="00750265"/>
    <w:rsid w:val="00775E62"/>
    <w:rsid w:val="00786162"/>
    <w:rsid w:val="00786E54"/>
    <w:rsid w:val="00795A12"/>
    <w:rsid w:val="007A37BC"/>
    <w:rsid w:val="007A4DC2"/>
    <w:rsid w:val="007B5AD8"/>
    <w:rsid w:val="007B5E1B"/>
    <w:rsid w:val="007B5E89"/>
    <w:rsid w:val="007C3A6E"/>
    <w:rsid w:val="007D19CF"/>
    <w:rsid w:val="007D5209"/>
    <w:rsid w:val="007D6342"/>
    <w:rsid w:val="007E00F0"/>
    <w:rsid w:val="007E2E4B"/>
    <w:rsid w:val="007E3F05"/>
    <w:rsid w:val="007E7279"/>
    <w:rsid w:val="007F55EA"/>
    <w:rsid w:val="007F6E5E"/>
    <w:rsid w:val="008017C0"/>
    <w:rsid w:val="00813C16"/>
    <w:rsid w:val="008169F2"/>
    <w:rsid w:val="008269EF"/>
    <w:rsid w:val="00850C0B"/>
    <w:rsid w:val="0086028E"/>
    <w:rsid w:val="008665E0"/>
    <w:rsid w:val="00875AD1"/>
    <w:rsid w:val="00877BA5"/>
    <w:rsid w:val="00880D1C"/>
    <w:rsid w:val="00883072"/>
    <w:rsid w:val="008917E4"/>
    <w:rsid w:val="00891E87"/>
    <w:rsid w:val="00893384"/>
    <w:rsid w:val="008A2D50"/>
    <w:rsid w:val="008A353E"/>
    <w:rsid w:val="008B6E5B"/>
    <w:rsid w:val="008D319B"/>
    <w:rsid w:val="008E2333"/>
    <w:rsid w:val="008F7B84"/>
    <w:rsid w:val="00900A2F"/>
    <w:rsid w:val="0091679C"/>
    <w:rsid w:val="00922FA1"/>
    <w:rsid w:val="009429ED"/>
    <w:rsid w:val="009466A2"/>
    <w:rsid w:val="00961CBB"/>
    <w:rsid w:val="00963F4A"/>
    <w:rsid w:val="00971E44"/>
    <w:rsid w:val="00975686"/>
    <w:rsid w:val="00980503"/>
    <w:rsid w:val="0099684A"/>
    <w:rsid w:val="009C059D"/>
    <w:rsid w:val="009C6FC9"/>
    <w:rsid w:val="009D463A"/>
    <w:rsid w:val="009E227A"/>
    <w:rsid w:val="009E550C"/>
    <w:rsid w:val="00A00C9F"/>
    <w:rsid w:val="00A028F2"/>
    <w:rsid w:val="00A22D96"/>
    <w:rsid w:val="00A31370"/>
    <w:rsid w:val="00A367B0"/>
    <w:rsid w:val="00A50B77"/>
    <w:rsid w:val="00A5729D"/>
    <w:rsid w:val="00A610B2"/>
    <w:rsid w:val="00A66236"/>
    <w:rsid w:val="00A827A3"/>
    <w:rsid w:val="00A83C7A"/>
    <w:rsid w:val="00A84E27"/>
    <w:rsid w:val="00A870EB"/>
    <w:rsid w:val="00A91DFD"/>
    <w:rsid w:val="00A92D7C"/>
    <w:rsid w:val="00A977E8"/>
    <w:rsid w:val="00AA649B"/>
    <w:rsid w:val="00AB4003"/>
    <w:rsid w:val="00AC0455"/>
    <w:rsid w:val="00AD3749"/>
    <w:rsid w:val="00AF1FCA"/>
    <w:rsid w:val="00B036DF"/>
    <w:rsid w:val="00B03FA0"/>
    <w:rsid w:val="00B04138"/>
    <w:rsid w:val="00B11834"/>
    <w:rsid w:val="00B17BE1"/>
    <w:rsid w:val="00B3646D"/>
    <w:rsid w:val="00B37B4A"/>
    <w:rsid w:val="00B4194B"/>
    <w:rsid w:val="00B67B6B"/>
    <w:rsid w:val="00B811BD"/>
    <w:rsid w:val="00B82B08"/>
    <w:rsid w:val="00B86FD8"/>
    <w:rsid w:val="00BA311E"/>
    <w:rsid w:val="00BD696A"/>
    <w:rsid w:val="00BE26FA"/>
    <w:rsid w:val="00BE2FE5"/>
    <w:rsid w:val="00BF738F"/>
    <w:rsid w:val="00C371B5"/>
    <w:rsid w:val="00C42A4B"/>
    <w:rsid w:val="00C55AD8"/>
    <w:rsid w:val="00C67447"/>
    <w:rsid w:val="00C80718"/>
    <w:rsid w:val="00CA3A08"/>
    <w:rsid w:val="00CB1079"/>
    <w:rsid w:val="00CB685E"/>
    <w:rsid w:val="00CC037C"/>
    <w:rsid w:val="00CC0FC4"/>
    <w:rsid w:val="00CC1257"/>
    <w:rsid w:val="00CF77BD"/>
    <w:rsid w:val="00D12D5B"/>
    <w:rsid w:val="00D1712D"/>
    <w:rsid w:val="00D21235"/>
    <w:rsid w:val="00D21734"/>
    <w:rsid w:val="00D30EA1"/>
    <w:rsid w:val="00D4292E"/>
    <w:rsid w:val="00D50293"/>
    <w:rsid w:val="00D5509F"/>
    <w:rsid w:val="00D65C0D"/>
    <w:rsid w:val="00D67688"/>
    <w:rsid w:val="00DB20BC"/>
    <w:rsid w:val="00DB5476"/>
    <w:rsid w:val="00DB5926"/>
    <w:rsid w:val="00DC2047"/>
    <w:rsid w:val="00DC46C0"/>
    <w:rsid w:val="00DC75C8"/>
    <w:rsid w:val="00DD0AEF"/>
    <w:rsid w:val="00DD34DD"/>
    <w:rsid w:val="00DE570B"/>
    <w:rsid w:val="00DF726E"/>
    <w:rsid w:val="00E008C4"/>
    <w:rsid w:val="00E114A4"/>
    <w:rsid w:val="00E14B2E"/>
    <w:rsid w:val="00E210B9"/>
    <w:rsid w:val="00E36C92"/>
    <w:rsid w:val="00E3747B"/>
    <w:rsid w:val="00E4679D"/>
    <w:rsid w:val="00E55FCA"/>
    <w:rsid w:val="00E5726F"/>
    <w:rsid w:val="00E8044F"/>
    <w:rsid w:val="00E82C5D"/>
    <w:rsid w:val="00E82FE2"/>
    <w:rsid w:val="00E85CB2"/>
    <w:rsid w:val="00E87FB4"/>
    <w:rsid w:val="00E93B67"/>
    <w:rsid w:val="00E9791A"/>
    <w:rsid w:val="00EA44E9"/>
    <w:rsid w:val="00EB2A23"/>
    <w:rsid w:val="00EC3049"/>
    <w:rsid w:val="00EE1B11"/>
    <w:rsid w:val="00EE2B05"/>
    <w:rsid w:val="00EF0387"/>
    <w:rsid w:val="00EF22BD"/>
    <w:rsid w:val="00EF58A6"/>
    <w:rsid w:val="00F21FED"/>
    <w:rsid w:val="00F22B1F"/>
    <w:rsid w:val="00F22D85"/>
    <w:rsid w:val="00F3583E"/>
    <w:rsid w:val="00F4153A"/>
    <w:rsid w:val="00F51D51"/>
    <w:rsid w:val="00F57767"/>
    <w:rsid w:val="00F614D9"/>
    <w:rsid w:val="00F61A47"/>
    <w:rsid w:val="00F63B80"/>
    <w:rsid w:val="00F6501A"/>
    <w:rsid w:val="00F84BDA"/>
    <w:rsid w:val="00F91A00"/>
    <w:rsid w:val="00F92EA3"/>
    <w:rsid w:val="00F973FC"/>
    <w:rsid w:val="00F975CC"/>
    <w:rsid w:val="00FB34CA"/>
    <w:rsid w:val="00FC03E5"/>
    <w:rsid w:val="00FD269B"/>
    <w:rsid w:val="00FD52B2"/>
    <w:rsid w:val="00FE0D57"/>
    <w:rsid w:val="00FF0A0D"/>
    <w:rsid w:val="00FF2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635D38"/>
    <w:rPr>
      <w:sz w:val="16"/>
      <w:szCs w:val="16"/>
    </w:rPr>
  </w:style>
  <w:style w:type="paragraph" w:styleId="CommentText">
    <w:name w:val="annotation text"/>
    <w:basedOn w:val="Normal"/>
    <w:link w:val="CommentTextChar"/>
    <w:uiPriority w:val="99"/>
    <w:semiHidden/>
    <w:unhideWhenUsed/>
    <w:rsid w:val="00635D38"/>
  </w:style>
  <w:style w:type="character" w:customStyle="1" w:styleId="CommentTextChar">
    <w:name w:val="Comment Text Char"/>
    <w:basedOn w:val="DefaultParagraphFont"/>
    <w:link w:val="CommentText"/>
    <w:uiPriority w:val="99"/>
    <w:semiHidden/>
    <w:rsid w:val="00635D38"/>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35D38"/>
    <w:rPr>
      <w:b/>
      <w:bCs/>
    </w:rPr>
  </w:style>
  <w:style w:type="character" w:customStyle="1" w:styleId="CommentSubjectChar">
    <w:name w:val="Comment Subject Char"/>
    <w:basedOn w:val="CommentTextChar"/>
    <w:link w:val="CommentSubject"/>
    <w:uiPriority w:val="99"/>
    <w:semiHidden/>
    <w:rsid w:val="00635D38"/>
    <w:rPr>
      <w:rFonts w:ascii="Times New Roman" w:eastAsia="Malgun Gothic" w:hAnsi="Times New Roman" w:cs="Times New Roman"/>
      <w:b/>
      <w:bCs/>
      <w:sz w:val="20"/>
      <w:szCs w:val="20"/>
      <w:lang w:val="en-GB"/>
    </w:rPr>
  </w:style>
  <w:style w:type="paragraph" w:styleId="BalloonText">
    <w:name w:val="Balloon Text"/>
    <w:basedOn w:val="Normal"/>
    <w:link w:val="BalloonTextChar"/>
    <w:uiPriority w:val="99"/>
    <w:semiHidden/>
    <w:unhideWhenUsed/>
    <w:rsid w:val="00635D3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5D38"/>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316715391">
      <w:bodyDiv w:val="1"/>
      <w:marLeft w:val="0"/>
      <w:marRight w:val="0"/>
      <w:marTop w:val="0"/>
      <w:marBottom w:val="0"/>
      <w:divBdr>
        <w:top w:val="none" w:sz="0" w:space="0" w:color="auto"/>
        <w:left w:val="none" w:sz="0" w:space="0" w:color="auto"/>
        <w:bottom w:val="none" w:sz="0" w:space="0" w:color="auto"/>
        <w:right w:val="none" w:sz="0" w:space="0" w:color="auto"/>
      </w:divBdr>
    </w:div>
    <w:div w:id="1320888810">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9BB3B-1A78-4212-BBC1-7C23E6E91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1129</Words>
  <Characters>6438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Peng Cheng</cp:lastModifiedBy>
  <cp:revision>3</cp:revision>
  <dcterms:created xsi:type="dcterms:W3CDTF">2019-05-02T10:47:00Z</dcterms:created>
  <dcterms:modified xsi:type="dcterms:W3CDTF">2019-05-02T10:47:00Z</dcterms:modified>
</cp:coreProperties>
</file>